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pPr>
      <w:bookmarkStart w:id="0" w:name="vmi-20260727x8k.htm"/>
      <w:bookmarkStart w:id="1" w:name="ksvmi20260727x8k"/>
      <w:bookmarkEnd w:id="0"/>
      <w:bookmarkEnd w:id="1"/>
      <w:r>
        <w:rPr/>
        <w:t>​</w:t>
      </w:r>
    </w:p>
    <w:p>
      <w:pPr>
        <w:pStyle w:val="TextBody"/>
        <w:pBdr>
          <w:top w:val="single" w:sz="18"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bookmarkStart w:id="2" w:name="_5a64c4d2_dc82_440d_9efd_4392c5cb4c4e"/>
      <w:bookmarkEnd w:id="2"/>
      <w:r>
        <w:rPr>
          <w:rFonts w:ascii="Times New Roman;Times;serif" w:hAnsi="Times New Roman;Times;serif"/>
          <w:b/>
          <w:sz w:val="24"/>
        </w:rPr>
        <w:t>UNITED STATES</w:t>
      </w:r>
    </w:p>
    <w:p>
      <w:pPr>
        <w:pStyle w:val="TextBody"/>
        <w:bidi w:val="0"/>
        <w:spacing w:before="0" w:after="10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10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100"/>
        <w:ind w:left="0" w:right="0" w:hanging="0"/>
        <w:jc w:val="center"/>
        <w:rPr>
          <w:rFonts w:ascii="Times New Roman;Times;serif" w:hAnsi="Times New Roman;Times;serif"/>
          <w:b/>
          <w:sz w:val="24"/>
        </w:rPr>
      </w:pPr>
      <w:r>
        <w:rPr>
          <w:rFonts w:ascii="Times New Roman;Times;serif" w:hAnsi="Times New Roman;Times;serif"/>
          <w:b/>
          <w:sz w:val="24"/>
        </w:rPr>
        <w:t>FORM 8-K</w:t>
      </w:r>
    </w:p>
    <w:p>
      <w:pPr>
        <w:pStyle w:val="TextBody"/>
        <w:bidi w:val="0"/>
        <w:spacing w:before="0" w:after="20"/>
        <w:ind w:left="0" w:right="0" w:hanging="0"/>
        <w:jc w:val="center"/>
        <w:rPr>
          <w:rFonts w:ascii="Times New Roman;Times;serif" w:hAnsi="Times New Roman;Times;serif"/>
          <w:b/>
          <w:color w:val="231F20"/>
          <w:sz w:val="24"/>
        </w:rPr>
      </w:pPr>
      <w:r>
        <w:rPr>
          <w:rFonts w:ascii="Times New Roman;Times;serif" w:hAnsi="Times New Roman;Times;serif"/>
          <w:b/>
          <w:color w:val="231F20"/>
          <w:sz w:val="24"/>
        </w:rPr>
        <w:t>CURRENT REPORT</w:t>
      </w:r>
    </w:p>
    <w:p>
      <w:pPr>
        <w:pStyle w:val="TextBody"/>
        <w:bidi w:val="0"/>
        <w:spacing w:before="0" w:after="0"/>
        <w:ind w:left="0" w:right="0" w:hanging="0"/>
        <w:jc w:val="center"/>
        <w:rPr>
          <w:rFonts w:ascii="Times New Roman;Times;serif" w:hAnsi="Times New Roman;Times;serif"/>
          <w:b/>
          <w:color w:val="231F20"/>
          <w:sz w:val="24"/>
        </w:rPr>
      </w:pPr>
      <w:r>
        <w:rPr>
          <w:rFonts w:ascii="Times New Roman;Times;serif" w:hAnsi="Times New Roman;Times;serif"/>
          <w:b/>
          <w:color w:val="231F20"/>
          <w:sz w:val="24"/>
        </w:rPr>
        <w:t>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July 27, 2026</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Date of Report (date of earliest event reported)</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Valmont Industries, Inc.</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(Exact name of registrant as specified in its charter)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F0LcuSaNb0ql7UeJs6xpdw_6_2"/>
      <w:bookmarkStart w:id="4" w:name="Tc_sZeNdmFIHkG_2A9gkV2s_A_6_0"/>
      <w:bookmarkStart w:id="5" w:name="Tc_x2wAS8h2VUWmed4V-hoDaQ_5_0"/>
      <w:bookmarkStart w:id="6" w:name="Tc_-RgLCrCa7kuxr0uycgb6AA_2_2"/>
      <w:bookmarkStart w:id="7" w:name="Tc_U0nbvW5FiUSOm7szlx6xYg_2_0"/>
      <w:bookmarkStart w:id="8" w:name="_e3060f41_a2bb_41f0_bb84_480030fb9c82"/>
      <w:bookmarkStart w:id="9" w:name="Tc_F0LcuSaNb0ql7UeJs6xpdw_6_2"/>
      <w:bookmarkStart w:id="10" w:name="Tc_sZeNdmFIHkG_2A9gkV2s_A_6_0"/>
      <w:bookmarkStart w:id="11" w:name="Tc_x2wAS8h2VUWmed4V-hoDaQ_5_0"/>
      <w:bookmarkStart w:id="12" w:name="Tc_-RgLCrCa7kuxr0uycgb6AA_2_2"/>
      <w:bookmarkStart w:id="13" w:name="Tc_U0nbvW5FiUSOm7szlx6xYg_2_0"/>
      <w:bookmarkStart w:id="14" w:name="_e3060f41_a2bb_41f0_bb84_480030fb9c82"/>
      <w:bookmarkEnd w:id="9"/>
      <w:bookmarkEnd w:id="10"/>
      <w:bookmarkEnd w:id="11"/>
      <w:bookmarkEnd w:id="12"/>
      <w:bookmarkEnd w:id="13"/>
      <w:bookmarkEnd w:id="14"/>
    </w:p>
    <w:tbl>
      <w:tblPr>
        <w:tblW w:w="6738" w:type="dxa"/>
        <w:jc w:val="left"/>
        <w:tblInd w:w="0" w:type="dxa"/>
        <w:tblLayout w:type="fixed"/>
        <w:tblCellMar>
          <w:top w:w="0" w:type="dxa"/>
          <w:left w:w="0" w:type="dxa"/>
          <w:bottom w:w="0" w:type="dxa"/>
          <w:right w:w="0" w:type="dxa"/>
        </w:tblCellMar>
      </w:tblPr>
      <w:tblGrid>
        <w:gridCol w:w="3361"/>
        <w:gridCol w:w="346"/>
        <w:gridCol w:w="3031"/>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031" w:type="dxa"/>
            <w:tcBorders/>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1-31429</w:t>
            </w:r>
          </w:p>
        </w:tc>
        <w:tc>
          <w:tcPr>
            <w:tcW w:w="346" w:type="dxa"/>
            <w:tcBorders/>
            <w:vAlign w:val="center"/>
          </w:tcPr>
          <w:p>
            <w:pPr>
              <w:pStyle w:val="TableContents"/>
              <w:bidi w:val="0"/>
              <w:spacing w:before="0" w:after="0"/>
              <w:ind w:left="0" w:right="0" w:hanging="0"/>
              <w:jc w:val="left"/>
              <w:rPr/>
            </w:pPr>
            <w:r>
              <w:rPr/>
              <w:t>  ​ ​ ​</w:t>
            </w:r>
          </w:p>
        </w:tc>
        <w:tc>
          <w:tcPr>
            <w:tcW w:w="30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47-0351813</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46" w:type="dxa"/>
            <w:tcBorders/>
            <w:vAlign w:val="center"/>
          </w:tcPr>
          <w:p>
            <w:pPr>
              <w:pStyle w:val="TableContents"/>
              <w:bidi w:val="0"/>
              <w:spacing w:before="0" w:after="0"/>
              <w:ind w:left="0" w:right="0" w:hanging="0"/>
              <w:jc w:val="left"/>
              <w:rPr/>
            </w:pPr>
            <w:r>
              <w:rPr/>
              <w:t>​</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31"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15000 Valmont Plaza</w:t>
            </w:r>
          </w:p>
        </w:tc>
        <w:tc>
          <w:tcPr>
            <w:tcW w:w="346" w:type="dxa"/>
            <w:tcBorders/>
            <w:vAlign w:val="center"/>
          </w:tcPr>
          <w:p>
            <w:pPr>
              <w:pStyle w:val="TableContents"/>
              <w:bidi w:val="0"/>
              <w:spacing w:before="0" w:after="0"/>
              <w:ind w:left="0" w:right="0" w:hanging="0"/>
              <w:jc w:val="left"/>
              <w:rPr/>
            </w:pPr>
            <w:r>
              <w:rPr/>
              <w:t>​</w:t>
            </w:r>
          </w:p>
        </w:tc>
        <w:tc>
          <w:tcPr>
            <w:tcW w:w="30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68154</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Omaha</w:t>
            </w:r>
            <w:r>
              <w:rPr>
                <w:rFonts w:ascii="Times New Roman;Times;serif" w:hAnsi="Times New Roman;Times;serif"/>
                <w:sz w:val="20"/>
              </w:rPr>
              <w:t xml:space="preserve"> </w:t>
            </w:r>
            <w:r>
              <w:rPr>
                <w:rFonts w:ascii="Times New Roman;Times;serif" w:hAnsi="Times New Roman;Times;serif"/>
                <w:b/>
                <w:sz w:val="20"/>
              </w:rPr>
              <w:t>NE</w:t>
            </w:r>
          </w:p>
        </w:tc>
        <w:tc>
          <w:tcPr>
            <w:tcW w:w="346" w:type="dxa"/>
            <w:tcBorders/>
            <w:vAlign w:val="center"/>
          </w:tcPr>
          <w:p>
            <w:pPr>
              <w:pStyle w:val="TableContents"/>
              <w:bidi w:val="0"/>
              <w:spacing w:before="0" w:after="0"/>
              <w:ind w:left="0" w:right="0" w:hanging="0"/>
              <w:jc w:val="left"/>
              <w:rPr/>
            </w:pPr>
            <w:r>
              <w:rPr/>
              <w:t>​</w:t>
            </w:r>
          </w:p>
        </w:tc>
        <w:tc>
          <w:tcPr>
            <w:tcW w:w="3031"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46" w:type="dxa"/>
            <w:tcBorders/>
            <w:vAlign w:val="center"/>
          </w:tcPr>
          <w:p>
            <w:pPr>
              <w:pStyle w:val="TableContents"/>
              <w:bidi w:val="0"/>
              <w:spacing w:before="0" w:after="0"/>
              <w:ind w:left="0" w:right="0" w:hanging="0"/>
              <w:jc w:val="left"/>
              <w:rPr/>
            </w:pPr>
            <w:r>
              <w:rPr/>
              <w:t>​</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(402) 963-1000</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(Former name or former address, if changed since last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color w:val="231F20"/>
          <w:sz w:val="20"/>
        </w:rPr>
        <w:t>Soliciting material pursuant to Rule 14a-12 under the Exchange Act (17 CFR 240.14a-12)</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color w:val="231F20"/>
          <w:sz w:val="20"/>
        </w:rPr>
        <w:t>Pre-commencement communications pursuant to Rule 14d-2(b) under the Exchange Act (17 CFR 240.14d-2(b))</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color w:val="231F20"/>
          <w:sz w:val="20"/>
        </w:rPr>
        <w:t>Pre-commencement communications pursuant to Rule 13e-4(c) under the Exchange Act (17 CFR 240.13e-4(c))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 w:name="Tc_-5lg3EmJwUCNmYSzUAKpxA_1_4"/>
      <w:bookmarkStart w:id="16" w:name="Tc_2rMjz1dNEUeh6NzBuDpm7Q_1_2"/>
      <w:bookmarkStart w:id="17" w:name="Tc_nsGG8NSpQkW86O-RW-UKQQ_1_0"/>
      <w:bookmarkStart w:id="18" w:name="_93d5eed6_493c_4bbb_8b36_945d215b1edd"/>
      <w:bookmarkStart w:id="19" w:name="Tc_-5lg3EmJwUCNmYSzUAKpxA_1_4"/>
      <w:bookmarkStart w:id="20" w:name="Tc_2rMjz1dNEUeh6NzBuDpm7Q_1_2"/>
      <w:bookmarkStart w:id="21" w:name="Tc_nsGG8NSpQkW86O-RW-UKQQ_1_0"/>
      <w:bookmarkStart w:id="22" w:name="_93d5eed6_493c_4bbb_8b36_945d215b1edd"/>
      <w:bookmarkEnd w:id="19"/>
      <w:bookmarkEnd w:id="20"/>
      <w:bookmarkEnd w:id="21"/>
      <w:bookmarkEnd w:id="22"/>
    </w:p>
    <w:tbl>
      <w:tblPr>
        <w:tblW w:w="8630" w:type="dxa"/>
        <w:jc w:val="left"/>
        <w:tblInd w:w="0" w:type="dxa"/>
        <w:tblLayout w:type="fixed"/>
        <w:tblCellMar>
          <w:top w:w="0" w:type="dxa"/>
          <w:left w:w="0" w:type="dxa"/>
          <w:bottom w:w="0" w:type="dxa"/>
          <w:right w:w="0" w:type="dxa"/>
        </w:tblCellMar>
      </w:tblPr>
      <w:tblGrid>
        <w:gridCol w:w="2731"/>
        <w:gridCol w:w="286"/>
        <w:gridCol w:w="1621"/>
        <w:gridCol w:w="286"/>
        <w:gridCol w:w="3706"/>
      </w:tblGrid>
      <w:tr>
        <w:trPr/>
        <w:tc>
          <w:tcPr>
            <w:tcW w:w="27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273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286" w:type="dxa"/>
            <w:tcBorders/>
            <w:vAlign w:val="center"/>
          </w:tcPr>
          <w:p>
            <w:pPr>
              <w:pStyle w:val="TableContents"/>
              <w:bidi w:val="0"/>
              <w:spacing w:before="0" w:after="0"/>
              <w:ind w:left="0" w:right="0" w:hanging="0"/>
              <w:jc w:val="left"/>
              <w:rPr/>
            </w:pPr>
            <w:r>
              <w:rPr/>
              <w:t>  ​ ​</w:t>
            </w:r>
          </w:p>
        </w:tc>
        <w:tc>
          <w:tcPr>
            <w:tcW w:w="162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286" w:type="dxa"/>
            <w:tcBorders/>
            <w:vAlign w:val="center"/>
          </w:tcPr>
          <w:p>
            <w:pPr>
              <w:pStyle w:val="TableContents"/>
              <w:bidi w:val="0"/>
              <w:spacing w:before="0" w:after="0"/>
              <w:ind w:left="0" w:right="0" w:hanging="0"/>
              <w:jc w:val="left"/>
              <w:rPr/>
            </w:pPr>
            <w:r>
              <w:rPr/>
              <w:t>  ​ ​</w:t>
            </w:r>
          </w:p>
        </w:tc>
        <w:tc>
          <w:tcPr>
            <w:tcW w:w="370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73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$1.00 par value</w:t>
            </w:r>
          </w:p>
        </w:tc>
        <w:tc>
          <w:tcPr>
            <w:tcW w:w="286" w:type="dxa"/>
            <w:tcBorders/>
            <w:vAlign w:val="center"/>
          </w:tcPr>
          <w:p>
            <w:pPr>
              <w:pStyle w:val="TableContents"/>
              <w:bidi w:val="0"/>
              <w:spacing w:before="0" w:after="0"/>
              <w:ind w:left="0" w:right="0" w:hanging="0"/>
              <w:jc w:val="left"/>
              <w:rPr/>
            </w:pPr>
            <w:r>
              <w:rPr/>
              <w:t>​</w:t>
            </w:r>
          </w:p>
        </w:tc>
        <w:tc>
          <w:tcPr>
            <w:tcW w:w="162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VMI</w:t>
            </w:r>
          </w:p>
        </w:tc>
        <w:tc>
          <w:tcPr>
            <w:tcW w:w="286" w:type="dxa"/>
            <w:tcBorders/>
            <w:vAlign w:val="center"/>
          </w:tcPr>
          <w:p>
            <w:pPr>
              <w:pStyle w:val="TableContents"/>
              <w:bidi w:val="0"/>
              <w:spacing w:before="0" w:after="0"/>
              <w:ind w:left="0" w:right="0" w:hanging="0"/>
              <w:jc w:val="left"/>
              <w:rPr/>
            </w:pPr>
            <w:r>
              <w:rPr/>
              <w:t>​</w:t>
            </w:r>
          </w:p>
        </w:tc>
        <w:tc>
          <w:tcPr>
            <w:tcW w:w="370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color w:val="231F20"/>
          <w:sz w:val="20"/>
        </w:rPr>
        <w:t>Emerging growth company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0"/>
        <w:jc w:val="right"/>
        <w:rPr/>
      </w:pPr>
      <w:r>
        <w:rPr/>
        <w:t>☐</w:t>
      </w:r>
    </w:p>
    <w:p>
      <w:pPr>
        <w:pStyle w:val="TextBody"/>
        <w:bidi w:val="0"/>
        <w:spacing w:before="0" w:after="0"/>
        <w:ind w:left="0" w:right="0" w:hanging="0"/>
        <w:jc w:val="left"/>
        <w:rPr/>
      </w:pPr>
      <w:r>
        <w:rPr/>
        <w:t>​</w:t>
      </w:r>
    </w:p>
    <w:p>
      <w:pPr>
        <w:pStyle w:val="TextBody"/>
        <w:pBdr>
          <w:top w:val="single" w:sz="2" w:space="1" w:color="000000"/>
          <w:bottom w:val="single" w:sz="18"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3" w:name="_Hlk212185417"/>
      <w:bookmarkStart w:id="24" w:name="_70c7fad0_875b_46a2_9f97_faa03f6bff9c"/>
      <w:bookmarkEnd w:id="23"/>
      <w:bookmarkEnd w:id="24"/>
      <w:r>
        <w:rPr>
          <w:rFonts w:ascii="Times New Roman;Times;serif" w:hAnsi="Times New Roman;Times;serif"/>
          <w:b/>
          <w:sz w:val="20"/>
        </w:rPr>
        <w:t>Item 5.02. Departure of Directors or Certain Officers; Election of Directors; Appointment of Certain Officers; Compensatory Arrangements of Certain Officers.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 On July 27, 2026, Mogens C. Bay informed the Board of Directors (the “Board”) of Valmont Industries, Inc. (the “Company”) of his decision to retire from the Board at the end of the Company’s fiscal year, December 26, 2026. Catherine J. Paglia, the Company’s Vice Chair of the Board and Lead Independent Director, will succeed Mr. Bay as Board Chair upon his retirement.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25" w:name="_a093fc62_9c33_4ada_8774_618957c13cfd"/>
      <w:bookmarkEnd w:id="25"/>
      <w:r>
        <w:rPr>
          <w:rFonts w:ascii="Times New Roman;Times;serif" w:hAnsi="Times New Roman;Times;serif"/>
          <w:sz w:val="20"/>
        </w:rPr>
        <w:t>SIGNATURES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7250" w:type="dxa"/>
        <w:jc w:val="left"/>
        <w:tblInd w:w="0" w:type="dxa"/>
        <w:tblLayout w:type="fixed"/>
        <w:tblCellMar>
          <w:top w:w="0" w:type="dxa"/>
          <w:left w:w="0" w:type="dxa"/>
          <w:bottom w:w="0" w:type="dxa"/>
          <w:right w:w="0" w:type="dxa"/>
        </w:tblCellMar>
      </w:tblPr>
      <w:tblGrid>
        <w:gridCol w:w="556"/>
        <w:gridCol w:w="1216"/>
        <w:gridCol w:w="406"/>
        <w:gridCol w:w="631"/>
        <w:gridCol w:w="4441"/>
      </w:tblGrid>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072" w:type="dxa"/>
            <w:gridSpan w:val="2"/>
            <w:tcBorders/>
            <w:vAlign w:val="center"/>
          </w:tcPr>
          <w:p>
            <w:pPr>
              <w:pStyle w:val="TableContents"/>
              <w:bidi w:val="0"/>
              <w:spacing w:before="0" w:after="0"/>
              <w:ind w:left="0" w:right="0" w:hanging="0"/>
              <w:jc w:val="left"/>
              <w:rPr/>
            </w:pPr>
            <w:r>
              <w:rPr/>
              <w:t>​</w:t>
            </w:r>
          </w:p>
        </w:tc>
      </w:tr>
      <w:tr>
        <w:trPr/>
        <w:tc>
          <w:tcPr>
            <w:tcW w:w="1772"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07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Valmont Industries, Inc.</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27, 2026</w:t>
            </w:r>
          </w:p>
        </w:tc>
        <w:tc>
          <w:tcPr>
            <w:tcW w:w="406" w:type="dxa"/>
            <w:tcBorders/>
            <w:vAlign w:val="center"/>
          </w:tcPr>
          <w:p>
            <w:pPr>
              <w:pStyle w:val="TableContents"/>
              <w:bidi w:val="0"/>
              <w:spacing w:before="0" w:after="0"/>
              <w:ind w:left="0" w:right="0" w:hanging="0"/>
              <w:jc w:val="left"/>
              <w:rPr/>
            </w:pPr>
            <w:r>
              <w:rPr/>
              <w:t>​</w:t>
            </w:r>
          </w:p>
        </w:tc>
        <w:tc>
          <w:tcPr>
            <w:tcW w:w="5072" w:type="dxa"/>
            <w:gridSpan w:val="2"/>
            <w:tcBorders/>
            <w:vAlign w:val="center"/>
          </w:tcPr>
          <w:p>
            <w:pPr>
              <w:pStyle w:val="TableContents"/>
              <w:bidi w:val="0"/>
              <w:spacing w:before="0" w:after="0"/>
              <w:ind w:left="0" w:right="0" w:hanging="0"/>
              <w:jc w:val="left"/>
              <w:rPr/>
            </w:pPr>
            <w:r>
              <w:rPr/>
              <w:t>​</w:t>
            </w:r>
          </w:p>
        </w:tc>
      </w:tr>
      <w:tr>
        <w:trPr/>
        <w:tc>
          <w:tcPr>
            <w:tcW w:w="1772"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07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SCHWIETZ</w:t>
            </w:r>
          </w:p>
        </w:tc>
      </w:tr>
      <w:tr>
        <w:trPr/>
        <w:tc>
          <w:tcPr>
            <w:tcW w:w="1772"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Schwietz</w:t>
            </w:r>
          </w:p>
        </w:tc>
      </w:tr>
      <w:tr>
        <w:trPr/>
        <w:tc>
          <w:tcPr>
            <w:tcW w:w="1772"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439</Words>
  <Characters>2410</Characters>
  <CharactersWithSpaces>2902</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