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vmi-20251231x11k.htm"/>
        <w:bookmarkStart w:id="1" w:name="ksvmi20251231x11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240"/>
        <w:ind w:left="0" w:right="0" w:hanging="0"/>
        <w:jc w:val="center"/>
        <w:rPr/>
      </w:pPr>
      <w:r>
        <w:rPr/>
        <w:t>​</w:t>
      </w:r>
    </w:p>
    <w:p>
      <w:pPr>
        <w:pStyle w:val="TextBody"/>
        <w:bidi w:val="0"/>
        <w:spacing w:before="3000" w:after="0"/>
        <w:ind w:left="0" w:right="0" w:hanging="0"/>
        <w:jc w:val="center"/>
        <w:rPr>
          <w:rFonts w:ascii="Times New Roman;Times;serif" w:hAnsi="Times New Roman;Times;serif"/>
          <w:b/>
          <w:sz w:val="28"/>
        </w:rPr>
      </w:pPr>
      <w:bookmarkStart w:id="2" w:name="_54b31dc7_eeb7_4f33_890b_854f5b97ef45"/>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11-K</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(Mark One)</w:t>
      </w:r>
    </w:p>
    <w:p>
      <w:pPr>
        <w:pStyle w:val="TextBody"/>
        <w:pBdr/>
        <w:bidi w:val="0"/>
        <w:spacing w:before="0" w:after="120"/>
        <w:ind w:left="0" w:right="0" w:hanging="720"/>
        <w:jc w:val="left"/>
        <w:rPr/>
      </w:pPr>
      <w:r>
        <w:rPr/>
        <w:t xml:space="preserve">☒ </w:t>
      </w:r>
      <w:r>
        <w:rPr>
          <w:rFonts w:ascii="Times New Roman;Times;serif" w:hAnsi="Times New Roman;Times;serif"/>
          <w:b/>
          <w:sz w:val="20"/>
        </w:rPr>
        <w:t>ANNUAL REPORT PURSUANT TO SECTION 15(d) OF THE SECURITIES EXCHANGE ACT OF 1934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 the fiscal year ended December 31, 2025</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pBdr/>
        <w:bidi w:val="0"/>
        <w:spacing w:before="0" w:after="120"/>
        <w:ind w:left="0" w:right="0" w:hanging="720"/>
        <w:jc w:val="left"/>
        <w:rPr/>
      </w:pPr>
      <w:r>
        <w:rPr/>
        <w:t xml:space="preserve">☐ </w:t>
      </w:r>
      <w:r>
        <w:rPr>
          <w:rFonts w:ascii="Times New Roman;Times;serif" w:hAnsi="Times New Roman;Times;serif"/>
          <w:b/>
          <w:sz w:val="20"/>
        </w:rPr>
        <w:t>TRANSITION REPORT PURSUANT TO SECTION 15(d) OF THE SECURITIES EXCHANGE ACT OF 1934</w:t>
      </w:r>
    </w:p>
    <w:p>
      <w:pPr>
        <w:pStyle w:val="TextBody"/>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For the transition period from ______ to ______</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Commission file number: 001-31429</w:t>
      </w:r>
    </w:p>
    <w:tbl>
      <w:tblPr>
        <w:tblW w:w="8207" w:type="dxa"/>
        <w:jc w:val="left"/>
        <w:tblInd w:w="0" w:type="dxa"/>
        <w:tblLayout w:type="fixed"/>
        <w:tblCellMar>
          <w:top w:w="0" w:type="dxa"/>
          <w:left w:w="0" w:type="dxa"/>
          <w:bottom w:w="0" w:type="dxa"/>
          <w:right w:w="0" w:type="dxa"/>
        </w:tblCellMar>
      </w:tblPr>
      <w:tblGrid>
        <w:gridCol w:w="301"/>
        <w:gridCol w:w="790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 and the address of the plan, if different from that of the issuer named below:</w:t>
            </w:r>
          </w:p>
        </w:tc>
      </w:tr>
    </w:tbl>
    <w:p>
      <w:pPr>
        <w:pStyle w:val="TextBody"/>
        <w:bidi w:val="0"/>
        <w:spacing w:before="0" w:after="240"/>
        <w:ind w:left="0" w:right="0" w:hanging="0"/>
        <w:jc w:val="center"/>
        <w:rPr>
          <w:rFonts w:ascii="Times New Roman;Times;serif" w:hAnsi="Times New Roman;Times;serif"/>
          <w:b/>
          <w:sz w:val="32"/>
        </w:rPr>
      </w:pPr>
      <w:r>
        <w:rPr>
          <w:rFonts w:ascii="Times New Roman;Times;serif" w:hAnsi="Times New Roman;Times;serif"/>
          <w:b/>
          <w:sz w:val="32"/>
        </w:rPr>
        <w:t>VALMONT EMPLOYEE RETIREMENT SAVINGS PLAN</w:t>
      </w:r>
    </w:p>
    <w:tbl>
      <w:tblPr>
        <w:tblW w:w="8957" w:type="dxa"/>
        <w:jc w:val="left"/>
        <w:tblInd w:w="0" w:type="dxa"/>
        <w:tblLayout w:type="fixed"/>
        <w:tblCellMar>
          <w:top w:w="0" w:type="dxa"/>
          <w:left w:w="0" w:type="dxa"/>
          <w:bottom w:w="0" w:type="dxa"/>
          <w:right w:w="0" w:type="dxa"/>
        </w:tblCellMar>
      </w:tblPr>
      <w:tblGrid>
        <w:gridCol w:w="301"/>
        <w:gridCol w:w="865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 of the securities held pursuant to the plan and the address of its principal executive office:</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15000 Valmont Plaza</w:t>
      </w:r>
    </w:p>
    <w:p>
      <w:pPr>
        <w:pStyle w:val="TextBody"/>
        <w:bidi w:val="0"/>
        <w:spacing w:before="0" w:after="4000"/>
        <w:ind w:left="0" w:right="0" w:hanging="0"/>
        <w:jc w:val="center"/>
        <w:rPr>
          <w:rFonts w:ascii="Times New Roman;Times;serif" w:hAnsi="Times New Roman;Times;serif"/>
          <w:b/>
          <w:sz w:val="20"/>
        </w:rPr>
      </w:pPr>
      <w:r>
        <w:rPr>
          <w:rFonts w:ascii="Times New Roman;Times;serif" w:hAnsi="Times New Roman;Times;serif"/>
          <w:b/>
          <w:sz w:val="20"/>
        </w:rPr>
        <w:t>Omaha, Nebraska 68154</w:t>
      </w:r>
    </w:p>
    <w:p>
      <w:pPr>
        <w:pStyle w:val="TextBody"/>
        <w:pBdr>
          <w:top w:val="single" w:sz="2" w:space="1" w:color="000000"/>
          <w:bottom w:val="single" w:sz="24" w:space="1" w:color="000000"/>
        </w:pBdr>
        <w:bidi w:val="0"/>
        <w:spacing w:lineRule="atLeast" w:line="142"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 w:name="_73e43a8e_4af2_456c_afe6_b75c85f80fcb"/>
      <w:bookmarkEnd w:id="3"/>
      <w:r>
        <w:rPr>
          <w:rFonts w:ascii="Times New Roman;Times;serif" w:hAnsi="Times New Roman;Times;serif"/>
          <w:b/>
          <w:sz w:val="20"/>
        </w:rPr>
        <w:t>VALMONT EMPLOYEE RETIREMENT SAVINGS PLAN</w:t>
      </w:r>
    </w:p>
    <w:p>
      <w:pPr>
        <w:pStyle w:val="TextBody"/>
        <w:bidi w:val="0"/>
        <w:spacing w:before="0" w:after="480"/>
        <w:ind w:left="0" w:right="0" w:hanging="0"/>
        <w:jc w:val="center"/>
        <w:rPr>
          <w:rFonts w:ascii="Times New Roman;Times;serif" w:hAnsi="Times New Roman;Times;serif"/>
          <w:b/>
          <w:sz w:val="20"/>
        </w:rPr>
      </w:pPr>
      <w:bookmarkStart w:id="4" w:name="TOC"/>
      <w:bookmarkEnd w:id="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552"/>
        <w:gridCol w:w="9081"/>
        <w:gridCol w:w="572"/>
      </w:tblGrid>
      <w:tr>
        <w:trPr/>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50520" cy="175260"/>
                      <wp:effectExtent l="0" t="0" r="0" b="0"/>
                      <wp:wrapNone/>
                      <wp:docPr id="1" name="Frame1"/>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63220" cy="175260"/>
                      <wp:effectExtent l="0" t="0" r="0" b="0"/>
                      <wp:wrapNone/>
                      <wp:docPr id="2" name="Frame2"/>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2"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center"/>
              <w:rPr/>
            </w:pPr>
            <w:r>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552"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center"/>
              <w:rPr/>
            </w:pPr>
            <w:r>
              <w:rPr/>
              <w:t>​</w:t>
            </w:r>
          </w:p>
        </w:tc>
        <w:tc>
          <w:tcPr>
            <w:tcW w:w="572" w:type="dxa"/>
            <w:tcBorders/>
            <w:vAlign w:val="center"/>
          </w:tcPr>
          <w:p>
            <w:pPr>
              <w:pStyle w:val="TableContents"/>
              <w:bidi w:val="0"/>
              <w:spacing w:before="0" w:after="0"/>
              <w:ind w:left="0" w:right="0" w:hanging="0"/>
              <w:jc w:val="center"/>
              <w:rPr>
                <w:shd w:fill="FFFF00" w:val="clear"/>
              </w:rPr>
            </w:pPr>
            <w:r>
              <w:rPr>
                <w:shd w:fill="FFFF00" w:val="clear"/>
              </w:rPr>
              <w:t>​</w:t>
            </w:r>
          </w:p>
        </w:tc>
      </w:tr>
      <w:tr>
        <w:trPr/>
        <w:tc>
          <w:tcPr>
            <w:tcW w:w="9633" w:type="dxa"/>
            <w:gridSpan w:val="2"/>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552" w:type="dxa"/>
            <w:tcBorders/>
            <w:vAlign w:val="center"/>
          </w:tcPr>
          <w:p>
            <w:pPr>
              <w:pStyle w:val="TableContents"/>
              <w:bidi w:val="0"/>
              <w:spacing w:lineRule="auto" w:line="328" w:before="0" w:after="0"/>
              <w:ind w:left="0" w:right="0" w:hanging="0"/>
              <w:jc w:val="left"/>
              <w:rPr/>
            </w:pPr>
            <w:r>
              <w:rPr/>
              <w:t>​</w:t>
            </w:r>
          </w:p>
        </w:tc>
        <w:tc>
          <w:tcPr>
            <w:tcW w:w="9081" w:type="dxa"/>
            <w:tcBorders/>
            <w:vAlign w:val="center"/>
          </w:tcPr>
          <w:p>
            <w:pPr>
              <w:pStyle w:val="TableContents"/>
              <w:bidi w:val="0"/>
              <w:spacing w:lineRule="auto" w:line="328" w:before="0" w:after="0"/>
              <w:ind w:left="0" w:right="0" w:hanging="0"/>
              <w:jc w:val="center"/>
              <w:rPr/>
            </w:pPr>
            <w:r>
              <w:rPr/>
              <w:t>​</w:t>
            </w:r>
          </w:p>
        </w:tc>
        <w:tc>
          <w:tcPr>
            <w:tcW w:w="572" w:type="dxa"/>
            <w:tcBorders/>
            <w:vAlign w:val="center"/>
          </w:tcPr>
          <w:p>
            <w:pPr>
              <w:pStyle w:val="TableContents"/>
              <w:bidi w:val="0"/>
              <w:spacing w:lineRule="auto" w:line="328" w:before="0" w:after="0"/>
              <w:ind w:left="0" w:right="0" w:hanging="0"/>
              <w:jc w:val="center"/>
              <w:rPr/>
            </w:pPr>
            <w:r>
              <w:rPr/>
              <w:t>​</w:t>
            </w:r>
          </w:p>
        </w:tc>
      </w:tr>
      <w:tr>
        <w:trPr/>
        <w:tc>
          <w:tcPr>
            <w:tcW w:w="9633" w:type="dxa"/>
            <w:gridSpan w:val="2"/>
            <w:tcBorders/>
            <w:vAlign w:val="center"/>
          </w:tcPr>
          <w:p>
            <w:pPr>
              <w:pStyle w:val="TableContents"/>
              <w:bidi w:val="0"/>
              <w:spacing w:lineRule="auto" w:line="328" w:before="0" w:after="0"/>
              <w:ind w:left="0" w:right="0" w:hanging="0"/>
              <w:jc w:val="left"/>
              <w:rPr/>
            </w:pPr>
            <w:hyperlink w:anchor="STATEMENTOFNETASSETSAVAILABLEFORBENEFITS">
              <w:r>
                <w:rPr>
                  <w:rStyle w:val="InternetLink"/>
                  <w:rFonts w:ascii="Times New Roman;Times;serif" w:hAnsi="Times New Roman;Times;serif"/>
                  <w:b w:val="false"/>
                  <w:i w:val="false"/>
                  <w:caps w:val="false"/>
                  <w:smallCaps w:val="false"/>
                  <w:sz w:val="20"/>
                </w:rPr>
                <w:t>Financial Statements as of and for the Years Ended December 31, 2025 and 2024</w:t>
              </w:r>
            </w:hyperlink>
          </w:p>
        </w:tc>
        <w:tc>
          <w:tcPr>
            <w:tcW w:w="572" w:type="dxa"/>
            <w:tcBorders/>
            <w:vAlign w:val="center"/>
          </w:tcPr>
          <w:p>
            <w:pPr>
              <w:pStyle w:val="TableContents"/>
              <w:bidi w:val="0"/>
              <w:spacing w:lineRule="auto" w:line="328" w:before="0" w:after="0"/>
              <w:ind w:left="0" w:right="0" w:hanging="0"/>
              <w:jc w:val="center"/>
              <w:rPr/>
            </w:pPr>
            <w:r>
              <w:rPr/>
              <w:t>​</w:t>
            </w:r>
          </w:p>
        </w:tc>
      </w:tr>
      <w:tr>
        <w:trPr/>
        <w:tc>
          <w:tcPr>
            <w:tcW w:w="552" w:type="dxa"/>
            <w:tcBorders/>
            <w:vAlign w:val="center"/>
          </w:tcPr>
          <w:p>
            <w:pPr>
              <w:pStyle w:val="TableContents"/>
              <w:bidi w:val="0"/>
              <w:spacing w:lineRule="auto" w:line="328" w:before="0" w:after="0"/>
              <w:ind w:left="0" w:right="0" w:hanging="0"/>
              <w:jc w:val="left"/>
              <w:rPr/>
            </w:pPr>
            <w:r>
              <w:rPr/>
              <w:t>​</w:t>
            </w:r>
          </w:p>
        </w:tc>
        <w:tc>
          <w:tcPr>
            <w:tcW w:w="9081" w:type="dxa"/>
            <w:tcBorders/>
            <w:vAlign w:val="center"/>
          </w:tcPr>
          <w:p>
            <w:pPr>
              <w:pStyle w:val="TableContents"/>
              <w:bidi w:val="0"/>
              <w:spacing w:lineRule="auto" w:line="328" w:before="0" w:after="0"/>
              <w:ind w:left="0" w:right="0" w:hanging="0"/>
              <w:jc w:val="center"/>
              <w:rPr/>
            </w:pPr>
            <w:r>
              <w:rPr/>
              <w:t>​</w:t>
            </w:r>
          </w:p>
        </w:tc>
        <w:tc>
          <w:tcPr>
            <w:tcW w:w="572" w:type="dxa"/>
            <w:tcBorders/>
            <w:vAlign w:val="center"/>
          </w:tcPr>
          <w:p>
            <w:pPr>
              <w:pStyle w:val="TableContents"/>
              <w:bidi w:val="0"/>
              <w:spacing w:lineRule="auto" w:line="328" w:before="0" w:after="0"/>
              <w:ind w:left="0" w:right="0" w:hanging="0"/>
              <w:jc w:val="center"/>
              <w:rPr/>
            </w:pPr>
            <w:r>
              <w:rPr/>
              <w:t>​</w:t>
            </w:r>
          </w:p>
        </w:tc>
      </w:tr>
      <w:tr>
        <w:trPr/>
        <w:tc>
          <w:tcPr>
            <w:tcW w:w="9633" w:type="dxa"/>
            <w:gridSpan w:val="2"/>
            <w:tcBorders/>
            <w:vAlign w:val="center"/>
          </w:tcPr>
          <w:p>
            <w:pPr>
              <w:pStyle w:val="TableContents"/>
              <w:bidi w:val="0"/>
              <w:spacing w:lineRule="auto" w:line="328" w:before="0" w:after="0"/>
              <w:ind w:left="0" w:right="0" w:hanging="0"/>
              <w:jc w:val="left"/>
              <w:rPr/>
            </w:pPr>
            <w:hyperlink w:anchor="STATEMENTOFNETASSETSAVAILABLEFORBENEFITS">
              <w:r>
                <w:rPr>
                  <w:rStyle w:val="InternetLink"/>
                  <w:rFonts w:ascii="Times New Roman;Times;serif" w:hAnsi="Times New Roman;Times;serif"/>
                  <w:b w:val="false"/>
                  <w:i w:val="false"/>
                  <w:caps w:val="false"/>
                  <w:smallCaps w:val="false"/>
                  <w:sz w:val="20"/>
                </w:rPr>
                <w:t>Statements of Net Assets Available for Benefits</w:t>
              </w:r>
            </w:hyperlink>
          </w:p>
        </w:tc>
        <w:tc>
          <w:tcPr>
            <w:tcW w:w="572"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552" w:type="dxa"/>
            <w:tcBorders/>
            <w:vAlign w:val="center"/>
          </w:tcPr>
          <w:p>
            <w:pPr>
              <w:pStyle w:val="TableContents"/>
              <w:bidi w:val="0"/>
              <w:spacing w:lineRule="auto" w:line="328" w:before="0" w:after="0"/>
              <w:ind w:left="0" w:right="0" w:hanging="0"/>
              <w:jc w:val="left"/>
              <w:rPr/>
            </w:pPr>
            <w:r>
              <w:rPr/>
              <w:t>​</w:t>
            </w:r>
          </w:p>
        </w:tc>
        <w:tc>
          <w:tcPr>
            <w:tcW w:w="9081" w:type="dxa"/>
            <w:tcBorders/>
            <w:vAlign w:val="center"/>
          </w:tcPr>
          <w:p>
            <w:pPr>
              <w:pStyle w:val="TableContents"/>
              <w:bidi w:val="0"/>
              <w:spacing w:lineRule="auto" w:line="328" w:before="0" w:after="0"/>
              <w:ind w:left="0" w:right="0" w:hanging="0"/>
              <w:jc w:val="center"/>
              <w:rPr/>
            </w:pPr>
            <w:r>
              <w:rPr/>
              <w:t>​</w:t>
            </w:r>
          </w:p>
        </w:tc>
        <w:tc>
          <w:tcPr>
            <w:tcW w:w="572" w:type="dxa"/>
            <w:tcBorders/>
            <w:vAlign w:val="center"/>
          </w:tcPr>
          <w:p>
            <w:pPr>
              <w:pStyle w:val="TableContents"/>
              <w:bidi w:val="0"/>
              <w:spacing w:lineRule="auto" w:line="328" w:before="0" w:after="0"/>
              <w:ind w:left="0" w:right="0" w:hanging="0"/>
              <w:jc w:val="center"/>
              <w:rPr/>
            </w:pPr>
            <w:r>
              <w:rPr/>
              <w:t>​</w:t>
            </w:r>
          </w:p>
        </w:tc>
      </w:tr>
      <w:tr>
        <w:trPr/>
        <w:tc>
          <w:tcPr>
            <w:tcW w:w="9633" w:type="dxa"/>
            <w:gridSpan w:val="2"/>
            <w:tcBorders/>
            <w:vAlign w:val="center"/>
          </w:tcPr>
          <w:p>
            <w:pPr>
              <w:pStyle w:val="TableContents"/>
              <w:bidi w:val="0"/>
              <w:spacing w:lineRule="auto" w:line="328" w:before="0" w:after="0"/>
              <w:ind w:left="0" w:right="0" w:hanging="0"/>
              <w:jc w:val="left"/>
              <w:rPr/>
            </w:pPr>
            <w:hyperlink w:anchor="STATEMENTSOFCHANGESINNETASSETSAVAILABLEF">
              <w:r>
                <w:rPr>
                  <w:rStyle w:val="InternetLink"/>
                  <w:rFonts w:ascii="Times New Roman;Times;serif" w:hAnsi="Times New Roman;Times;serif"/>
                  <w:b w:val="false"/>
                  <w:i w:val="false"/>
                  <w:caps w:val="false"/>
                  <w:smallCaps w:val="false"/>
                  <w:sz w:val="20"/>
                </w:rPr>
                <w:t>Statements of Changes in Net Assets Available for Benefits</w:t>
              </w:r>
            </w:hyperlink>
          </w:p>
        </w:tc>
        <w:tc>
          <w:tcPr>
            <w:tcW w:w="572"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552" w:type="dxa"/>
            <w:tcBorders/>
            <w:vAlign w:val="center"/>
          </w:tcPr>
          <w:p>
            <w:pPr>
              <w:pStyle w:val="TableContents"/>
              <w:bidi w:val="0"/>
              <w:spacing w:lineRule="auto" w:line="328" w:before="0" w:after="0"/>
              <w:ind w:left="0" w:right="0" w:hanging="0"/>
              <w:jc w:val="left"/>
              <w:rPr/>
            </w:pPr>
            <w:r>
              <w:rPr/>
              <w:t>​</w:t>
            </w:r>
          </w:p>
        </w:tc>
        <w:tc>
          <w:tcPr>
            <w:tcW w:w="9081" w:type="dxa"/>
            <w:tcBorders/>
            <w:vAlign w:val="center"/>
          </w:tcPr>
          <w:p>
            <w:pPr>
              <w:pStyle w:val="TableContents"/>
              <w:bidi w:val="0"/>
              <w:spacing w:lineRule="auto" w:line="328" w:before="0" w:after="0"/>
              <w:ind w:left="0" w:right="0" w:hanging="0"/>
              <w:jc w:val="center"/>
              <w:rPr/>
            </w:pPr>
            <w:r>
              <w:rPr/>
              <w:t>​</w:t>
            </w:r>
          </w:p>
        </w:tc>
        <w:tc>
          <w:tcPr>
            <w:tcW w:w="572" w:type="dxa"/>
            <w:tcBorders/>
            <w:vAlign w:val="center"/>
          </w:tcPr>
          <w:p>
            <w:pPr>
              <w:pStyle w:val="TableContents"/>
              <w:bidi w:val="0"/>
              <w:spacing w:lineRule="auto" w:line="328" w:before="0" w:after="0"/>
              <w:ind w:left="0" w:right="0" w:hanging="0"/>
              <w:jc w:val="center"/>
              <w:rPr/>
            </w:pPr>
            <w:r>
              <w:rPr/>
              <w:t>​</w:t>
            </w:r>
          </w:p>
        </w:tc>
      </w:tr>
      <w:tr>
        <w:trPr/>
        <w:tc>
          <w:tcPr>
            <w:tcW w:w="9633" w:type="dxa"/>
            <w:gridSpan w:val="2"/>
            <w:tcBorders/>
            <w:vAlign w:val="center"/>
          </w:tcPr>
          <w:p>
            <w:pPr>
              <w:pStyle w:val="TableContents"/>
              <w:bidi w:val="0"/>
              <w:spacing w:lineRule="auto" w:line="328" w:before="0" w:after="0"/>
              <w:ind w:left="0" w:right="0" w:hanging="0"/>
              <w:jc w:val="left"/>
              <w:rPr/>
            </w:pPr>
            <w:hyperlink w:anchor="NOTESTOFINANCIALSTATEMENTS">
              <w:r>
                <w:rPr>
                  <w:rStyle w:val="InternetLink"/>
                  <w:rFonts w:ascii="Times New Roman;Times;serif" w:hAnsi="Times New Roman;Times;serif"/>
                  <w:b w:val="false"/>
                  <w:i w:val="false"/>
                  <w:caps w:val="false"/>
                  <w:smallCaps w:val="false"/>
                  <w:sz w:val="20"/>
                </w:rPr>
                <w:t>Notes to Financial Statements</w:t>
              </w:r>
            </w:hyperlink>
          </w:p>
        </w:tc>
        <w:tc>
          <w:tcPr>
            <w:tcW w:w="572"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5 – 9</w:t>
            </w:r>
          </w:p>
        </w:tc>
      </w:tr>
      <w:tr>
        <w:trPr/>
        <w:tc>
          <w:tcPr>
            <w:tcW w:w="552" w:type="dxa"/>
            <w:tcBorders/>
            <w:vAlign w:val="center"/>
          </w:tcPr>
          <w:p>
            <w:pPr>
              <w:pStyle w:val="TableContents"/>
              <w:bidi w:val="0"/>
              <w:spacing w:lineRule="auto" w:line="328" w:before="0" w:after="0"/>
              <w:ind w:left="0" w:right="0" w:hanging="0"/>
              <w:jc w:val="left"/>
              <w:rPr/>
            </w:pPr>
            <w:r>
              <w:rPr/>
              <w:t>​</w:t>
            </w:r>
          </w:p>
        </w:tc>
        <w:tc>
          <w:tcPr>
            <w:tcW w:w="9081" w:type="dxa"/>
            <w:tcBorders/>
            <w:vAlign w:val="center"/>
          </w:tcPr>
          <w:p>
            <w:pPr>
              <w:pStyle w:val="TableContents"/>
              <w:bidi w:val="0"/>
              <w:spacing w:lineRule="auto" w:line="328" w:before="0" w:after="0"/>
              <w:ind w:left="0" w:right="0" w:hanging="0"/>
              <w:jc w:val="center"/>
              <w:rPr/>
            </w:pPr>
            <w:r>
              <w:rPr/>
              <w:t>​</w:t>
            </w:r>
          </w:p>
        </w:tc>
        <w:tc>
          <w:tcPr>
            <w:tcW w:w="572" w:type="dxa"/>
            <w:tcBorders/>
            <w:vAlign w:val="center"/>
          </w:tcPr>
          <w:p>
            <w:pPr>
              <w:pStyle w:val="TableContents"/>
              <w:bidi w:val="0"/>
              <w:spacing w:lineRule="auto" w:line="328" w:before="0" w:after="0"/>
              <w:ind w:left="0" w:right="0" w:hanging="0"/>
              <w:jc w:val="center"/>
              <w:rPr/>
            </w:pPr>
            <w:r>
              <w:rPr/>
              <w:t>​</w:t>
            </w:r>
          </w:p>
        </w:tc>
      </w:tr>
      <w:tr>
        <w:trPr/>
        <w:tc>
          <w:tcPr>
            <w:tcW w:w="9633" w:type="dxa"/>
            <w:gridSpan w:val="2"/>
            <w:tcBorders/>
            <w:vAlign w:val="center"/>
          </w:tcPr>
          <w:p>
            <w:pPr>
              <w:pStyle w:val="TableContents"/>
              <w:bidi w:val="0"/>
              <w:spacing w:lineRule="auto" w:line="328" w:before="0" w:after="0"/>
              <w:ind w:left="0" w:right="0" w:hanging="0"/>
              <w:jc w:val="left"/>
              <w:rPr/>
            </w:pPr>
            <w:hyperlink w:anchor="SUPPLEMENTALSCHEDULE">
              <w:r>
                <w:rPr>
                  <w:rStyle w:val="InternetLink"/>
                  <w:rFonts w:ascii="Times New Roman;Times;serif" w:hAnsi="Times New Roman;Times;serif"/>
                  <w:b w:val="false"/>
                  <w:i w:val="false"/>
                  <w:caps w:val="false"/>
                  <w:smallCaps w:val="false"/>
                  <w:sz w:val="20"/>
                </w:rPr>
                <w:t>Supplemental Schedule as of December 31, 2025</w:t>
              </w:r>
            </w:hyperlink>
          </w:p>
        </w:tc>
        <w:tc>
          <w:tcPr>
            <w:tcW w:w="572"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552" w:type="dxa"/>
            <w:tcBorders/>
            <w:vAlign w:val="center"/>
          </w:tcPr>
          <w:p>
            <w:pPr>
              <w:pStyle w:val="TableContents"/>
              <w:bidi w:val="0"/>
              <w:spacing w:lineRule="auto" w:line="328" w:before="0" w:after="0"/>
              <w:ind w:left="0" w:right="0" w:hanging="0"/>
              <w:jc w:val="left"/>
              <w:rPr/>
            </w:pPr>
            <w:r>
              <w:rPr/>
              <w:t>​</w:t>
            </w:r>
          </w:p>
        </w:tc>
        <w:tc>
          <w:tcPr>
            <w:tcW w:w="9081" w:type="dxa"/>
            <w:tcBorders/>
            <w:vAlign w:val="center"/>
          </w:tcPr>
          <w:p>
            <w:pPr>
              <w:pStyle w:val="TableContents"/>
              <w:bidi w:val="0"/>
              <w:spacing w:lineRule="auto" w:line="328" w:before="0" w:after="0"/>
              <w:ind w:left="0" w:right="0" w:hanging="0"/>
              <w:jc w:val="center"/>
              <w:rPr/>
            </w:pPr>
            <w:r>
              <w:rPr/>
              <w:t>​</w:t>
            </w:r>
          </w:p>
        </w:tc>
        <w:tc>
          <w:tcPr>
            <w:tcW w:w="572" w:type="dxa"/>
            <w:tcBorders/>
            <w:vAlign w:val="center"/>
          </w:tcPr>
          <w:p>
            <w:pPr>
              <w:pStyle w:val="TableContents"/>
              <w:bidi w:val="0"/>
              <w:spacing w:lineRule="auto" w:line="328" w:before="0" w:after="0"/>
              <w:ind w:left="0" w:right="0" w:hanging="0"/>
              <w:jc w:val="center"/>
              <w:rPr/>
            </w:pPr>
            <w:r>
              <w:rPr/>
              <w:t>​</w:t>
            </w:r>
          </w:p>
        </w:tc>
      </w:tr>
      <w:tr>
        <w:trPr/>
        <w:tc>
          <w:tcPr>
            <w:tcW w:w="9633" w:type="dxa"/>
            <w:gridSpan w:val="2"/>
            <w:tcBorders/>
            <w:vAlign w:val="center"/>
          </w:tcPr>
          <w:p>
            <w:pPr>
              <w:pStyle w:val="TableContents"/>
              <w:bidi w:val="0"/>
              <w:spacing w:lineRule="auto" w:line="328" w:before="0" w:after="0"/>
              <w:ind w:left="0" w:right="0" w:hanging="0"/>
              <w:jc w:val="left"/>
              <w:rPr/>
            </w:pPr>
            <w:hyperlink w:anchor="FORM5500SCHEDULEHPARTIVLINE4I">
              <w:r>
                <w:rPr>
                  <w:rStyle w:val="InternetLink"/>
                  <w:rFonts w:ascii="Times New Roman;Times;serif" w:hAnsi="Times New Roman;Times;serif"/>
                  <w:b w:val="false"/>
                  <w:i w:val="false"/>
                  <w:caps w:val="false"/>
                  <w:smallCaps w:val="false"/>
                  <w:sz w:val="20"/>
                </w:rPr>
                <w:t>Form 5500, Schedule H, Part IV, Line 4(i) – Schedule of Assets (Held At End of Year)</w:t>
              </w:r>
            </w:hyperlink>
          </w:p>
        </w:tc>
        <w:tc>
          <w:tcPr>
            <w:tcW w:w="572"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552" w:type="dxa"/>
            <w:tcBorders/>
            <w:vAlign w:val="center"/>
          </w:tcPr>
          <w:p>
            <w:pPr>
              <w:pStyle w:val="TableContents"/>
              <w:bidi w:val="0"/>
              <w:spacing w:lineRule="auto" w:line="328" w:before="0" w:after="0"/>
              <w:ind w:left="0" w:right="0" w:hanging="0"/>
              <w:jc w:val="left"/>
              <w:rPr/>
            </w:pPr>
            <w:r>
              <w:rPr/>
              <w:t>​</w:t>
            </w:r>
          </w:p>
        </w:tc>
        <w:tc>
          <w:tcPr>
            <w:tcW w:w="9081" w:type="dxa"/>
            <w:tcBorders/>
            <w:vAlign w:val="center"/>
          </w:tcPr>
          <w:p>
            <w:pPr>
              <w:pStyle w:val="TableContents"/>
              <w:bidi w:val="0"/>
              <w:spacing w:lineRule="auto" w:line="328" w:before="0" w:after="0"/>
              <w:ind w:left="0" w:right="0" w:hanging="0"/>
              <w:jc w:val="center"/>
              <w:rPr/>
            </w:pPr>
            <w:r>
              <w:rPr/>
              <w:t>​</w:t>
            </w:r>
          </w:p>
        </w:tc>
        <w:tc>
          <w:tcPr>
            <w:tcW w:w="572" w:type="dxa"/>
            <w:tcBorders/>
            <w:vAlign w:val="center"/>
          </w:tcPr>
          <w:p>
            <w:pPr>
              <w:pStyle w:val="TableContents"/>
              <w:bidi w:val="0"/>
              <w:spacing w:lineRule="auto" w:line="328" w:before="0" w:after="0"/>
              <w:ind w:left="0" w:right="0" w:hanging="0"/>
              <w:jc w:val="center"/>
              <w:rPr/>
            </w:pPr>
            <w:r>
              <w:rPr/>
              <w:t>​</w:t>
            </w:r>
          </w:p>
        </w:tc>
      </w:tr>
      <w:tr>
        <w:trPr/>
        <w:tc>
          <w:tcPr>
            <w:tcW w:w="9633" w:type="dxa"/>
            <w:gridSpan w:val="2"/>
            <w:tcBorders/>
            <w:vAlign w:val="center"/>
          </w:tcPr>
          <w:p>
            <w:pPr>
              <w:pStyle w:val="TableContents"/>
              <w:bidi w:val="0"/>
              <w:spacing w:lineRule="auto" w:line="328"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572"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9633" w:type="dxa"/>
            <w:gridSpan w:val="2"/>
            <w:tcBorders/>
            <w:vAlign w:val="center"/>
          </w:tcPr>
          <w:p>
            <w:pPr>
              <w:pStyle w:val="TableContents"/>
              <w:bidi w:val="0"/>
              <w:spacing w:lineRule="auto" w:line="328" w:before="0" w:after="0"/>
              <w:ind w:left="0" w:right="0" w:hanging="0"/>
              <w:jc w:val="left"/>
              <w:rPr/>
            </w:pPr>
            <w:r>
              <w:rPr/>
              <w:t>​</w:t>
            </w:r>
          </w:p>
        </w:tc>
        <w:tc>
          <w:tcPr>
            <w:tcW w:w="572" w:type="dxa"/>
            <w:tcBorders/>
            <w:vAlign w:val="center"/>
          </w:tcPr>
          <w:p>
            <w:pPr>
              <w:pStyle w:val="TableContents"/>
              <w:bidi w:val="0"/>
              <w:spacing w:lineRule="auto" w:line="328" w:before="0" w:after="0"/>
              <w:ind w:left="0" w:right="0" w:hanging="0"/>
              <w:jc w:val="center"/>
              <w:rPr/>
            </w:pPr>
            <w:r>
              <w:rPr/>
              <w:t>​</w:t>
            </w:r>
          </w:p>
        </w:tc>
      </w:tr>
      <w:tr>
        <w:trPr/>
        <w:tc>
          <w:tcPr>
            <w:tcW w:w="9633" w:type="dxa"/>
            <w:gridSpan w:val="2"/>
            <w:tcBorders/>
            <w:vAlign w:val="center"/>
          </w:tcPr>
          <w:p>
            <w:pPr>
              <w:pStyle w:val="TableContents"/>
              <w:bidi w:val="0"/>
              <w:spacing w:lineRule="auto" w:line="328" w:before="0" w:after="0"/>
              <w:ind w:left="0" w:right="0" w:hanging="0"/>
              <w:jc w:val="left"/>
              <w:rPr/>
            </w:pPr>
            <w:hyperlink w:anchor="INDEXTOEXHIBITS">
              <w:r>
                <w:rPr>
                  <w:rStyle w:val="InternetLink"/>
                  <w:rFonts w:ascii="Times New Roman;Times;serif" w:hAnsi="Times New Roman;Times;serif"/>
                  <w:b w:val="false"/>
                  <w:i w:val="false"/>
                  <w:caps w:val="false"/>
                  <w:smallCaps w:val="false"/>
                  <w:sz w:val="20"/>
                </w:rPr>
                <w:t>Index to Exhibits</w:t>
              </w:r>
            </w:hyperlink>
          </w:p>
        </w:tc>
        <w:tc>
          <w:tcPr>
            <w:tcW w:w="572"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13</w:t>
            </w:r>
          </w:p>
        </w:tc>
      </w:tr>
      <w:tr>
        <w:trPr/>
        <w:tc>
          <w:tcPr>
            <w:tcW w:w="552" w:type="dxa"/>
            <w:tcBorders/>
            <w:vAlign w:val="center"/>
          </w:tcPr>
          <w:p>
            <w:pPr>
              <w:pStyle w:val="TableContents"/>
              <w:bidi w:val="0"/>
              <w:spacing w:lineRule="auto" w:line="328" w:before="0" w:after="0"/>
              <w:ind w:left="0" w:right="0" w:hanging="0"/>
              <w:jc w:val="left"/>
              <w:rPr/>
            </w:pPr>
            <w:r>
              <w:rPr/>
              <w:t>​</w:t>
            </w:r>
          </w:p>
        </w:tc>
        <w:tc>
          <w:tcPr>
            <w:tcW w:w="9081" w:type="dxa"/>
            <w:tcBorders/>
            <w:vAlign w:val="center"/>
          </w:tcPr>
          <w:p>
            <w:pPr>
              <w:pStyle w:val="TableContents"/>
              <w:bidi w:val="0"/>
              <w:spacing w:lineRule="auto" w:line="328" w:before="0" w:after="0"/>
              <w:ind w:left="0" w:right="0" w:hanging="0"/>
              <w:jc w:val="center"/>
              <w:rPr/>
            </w:pPr>
            <w:r>
              <w:rPr/>
              <w:t>​</w:t>
            </w:r>
          </w:p>
        </w:tc>
        <w:tc>
          <w:tcPr>
            <w:tcW w:w="572" w:type="dxa"/>
            <w:tcBorders/>
            <w:vAlign w:val="center"/>
          </w:tcPr>
          <w:p>
            <w:pPr>
              <w:pStyle w:val="TableContents"/>
              <w:bidi w:val="0"/>
              <w:spacing w:lineRule="auto" w:line="328" w:before="0" w:after="0"/>
              <w:ind w:left="0" w:right="0" w:hanging="0"/>
              <w:jc w:val="center"/>
              <w:rPr/>
            </w:pPr>
            <w:r>
              <w:rPr/>
              <w:t>​</w:t>
            </w:r>
          </w:p>
        </w:tc>
      </w:tr>
      <w:tr>
        <w:trPr/>
        <w:tc>
          <w:tcPr>
            <w:tcW w:w="552" w:type="dxa"/>
            <w:tcBorders/>
            <w:vAlign w:val="center"/>
          </w:tcPr>
          <w:p>
            <w:pPr>
              <w:pStyle w:val="TableContents"/>
              <w:bidi w:val="0"/>
              <w:spacing w:lineRule="auto" w:line="328" w:before="0" w:after="0"/>
              <w:ind w:left="0" w:right="0" w:hanging="0"/>
              <w:jc w:val="left"/>
              <w:rPr/>
            </w:pPr>
            <w:r>
              <w:rPr/>
              <w:t>​</w:t>
            </w:r>
          </w:p>
        </w:tc>
        <w:tc>
          <w:tcPr>
            <w:tcW w:w="9081" w:type="dxa"/>
            <w:tcBorders/>
            <w:vAlign w:val="center"/>
          </w:tcPr>
          <w:p>
            <w:pPr>
              <w:pStyle w:val="TableContents"/>
              <w:bidi w:val="0"/>
              <w:spacing w:lineRule="auto" w:line="328" w:before="0" w:after="0"/>
              <w:ind w:left="0" w:right="0" w:hanging="0"/>
              <w:jc w:val="center"/>
              <w:rPr/>
            </w:pPr>
            <w:r>
              <w:rPr/>
              <w:t>​</w:t>
            </w:r>
          </w:p>
        </w:tc>
        <w:tc>
          <w:tcPr>
            <w:tcW w:w="572" w:type="dxa"/>
            <w:tcBorders/>
            <w:vAlign w:val="center"/>
          </w:tcPr>
          <w:p>
            <w:pPr>
              <w:pStyle w:val="TableContents"/>
              <w:bidi w:val="0"/>
              <w:spacing w:lineRule="auto" w:line="328" w:before="0" w:after="0"/>
              <w:ind w:left="0" w:right="0" w:hanging="0"/>
              <w:jc w:val="center"/>
              <w:rPr/>
            </w:pPr>
            <w:r>
              <w:rPr/>
              <w:t>​</w:t>
            </w:r>
          </w:p>
        </w:tc>
      </w:tr>
      <w:tr>
        <w:trPr/>
        <w:tc>
          <w:tcPr>
            <w:tcW w:w="5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Note: </w:t>
            </w:r>
          </w:p>
          <w:p>
            <w:pPr>
              <w:pStyle w:val="TableContents"/>
              <w:bidi w:val="0"/>
              <w:spacing w:lineRule="auto" w:line="328"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schedules required by Section 2520.103-10 of the Department of Labor’s Rules and Regulations for Reporting and Disclosure under the Employee Retirement Income Security Act of 1974, as amended, have been omitted because they are not applicable.</w:t>
            </w:r>
          </w:p>
          <w:p>
            <w:pPr>
              <w:pStyle w:val="TableContents"/>
              <w:bidi w:val="0"/>
              <w:spacing w:lineRule="auto" w:line="328" w:before="0" w:after="0"/>
              <w:ind w:left="0" w:right="0" w:hanging="0"/>
              <w:jc w:val="center"/>
              <w:rPr/>
            </w:pPr>
            <w:r>
              <w:rPr/>
              <w:t>​</w:t>
            </w:r>
          </w:p>
        </w:tc>
        <w:tc>
          <w:tcPr>
            <w:tcW w:w="572" w:type="dxa"/>
            <w:tcBorders/>
            <w:vAlign w:val="center"/>
          </w:tcPr>
          <w:p>
            <w:pPr>
              <w:pStyle w:val="TableContents"/>
              <w:bidi w:val="0"/>
              <w:spacing w:lineRule="auto" w:line="328"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5" w:name="REPORTOFINDEPENDENTREGISTEREDPUBLICACCOU"/>
      <w:bookmarkStart w:id="6" w:name="_280f320d_16d1_4b83_94f2_e08b70a2641a"/>
      <w:bookmarkEnd w:id="5"/>
      <w:bookmarkEnd w:id="6"/>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Plan Participants and Plan Administrator of Valmont Employee Retirement Savings Plan</w:t>
      </w:r>
    </w:p>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audited the accompanying statements of net assets available for benefits of Valmont Employee Retirement Savings Plan (the “Plan”) as of December 31, 2025 and 2024, the related statement of changes in net assets available for benefits for the years ended December 31, 2025 and 2024,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ended December 31, 2025 and 2024, in conformity with accounting principles generally accepted in the United States of America.</w:t>
      </w:r>
    </w:p>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Report on Supplemental Schedule</w:t>
      </w:r>
    </w:p>
    <w:p>
      <w:pPr>
        <w:pStyle w:val="TextBody"/>
        <w:bidi w:val="0"/>
        <w:spacing w:before="0" w:after="960"/>
        <w:ind w:left="0" w:right="0" w:hanging="0"/>
        <w:jc w:val="left"/>
        <w:rPr>
          <w:rFonts w:ascii="Times New Roman;Times;serif" w:hAnsi="Times New Roman;Times;serif"/>
          <w:sz w:val="20"/>
        </w:rPr>
      </w:pPr>
      <w:r>
        <w:rPr>
          <w:rFonts w:ascii="Times New Roman;Times;serif" w:hAnsi="Times New Roman;Times;serif"/>
          <w:sz w:val="20"/>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Deloitte &amp; Touche LLP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Omaha, Nebraska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June 19,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auditor of the Plan since 1996.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28" w:before="0" w:after="0"/>
        <w:ind w:left="0" w:right="0" w:hanging="0"/>
        <w:jc w:val="center"/>
        <w:rPr>
          <w:rFonts w:ascii="Times New Roman;Times;serif" w:hAnsi="Times New Roman;Times;serif"/>
          <w:b/>
          <w:sz w:val="20"/>
        </w:rPr>
      </w:pPr>
      <w:bookmarkStart w:id="7" w:name="STATEMENTOFNETASSETSAVAILABLEFORBENEFITS"/>
      <w:bookmarkStart w:id="8" w:name="_97ea1f32_6154_4974_9bf7_f0325f8329f7"/>
      <w:bookmarkEnd w:id="7"/>
      <w:bookmarkEnd w:id="8"/>
      <w:r>
        <w:rPr>
          <w:rFonts w:ascii="Times New Roman;Times;serif" w:hAnsi="Times New Roman;Times;serif"/>
          <w:b/>
          <w:sz w:val="20"/>
        </w:rPr>
        <w:t>VALMONT EMPLOYEE RETIREMENT SAVINGS PLAN</w:t>
      </w:r>
    </w:p>
    <w:p>
      <w:pPr>
        <w:pStyle w:val="TextBody"/>
        <w:bidi w:val="0"/>
        <w:spacing w:lineRule="auto" w:line="328" w:before="0" w:after="480"/>
        <w:ind w:left="0" w:right="0" w:hanging="0"/>
        <w:jc w:val="center"/>
        <w:rPr>
          <w:rFonts w:ascii="Times New Roman;Times;serif" w:hAnsi="Times New Roman;Times;serif"/>
          <w:b/>
          <w:sz w:val="20"/>
        </w:rPr>
      </w:pPr>
      <w:r>
        <w:rPr>
          <w:rFonts w:ascii="Times New Roman;Times;serif" w:hAnsi="Times New Roman;Times;serif"/>
          <w:b/>
          <w:sz w:val="20"/>
        </w:rPr>
        <w:t>STATEMENTS OF NET ASSETS AVAILABLE FOR BENEFITS</w:t>
      </w:r>
    </w:p>
    <w:p>
      <w:pPr>
        <w:pStyle w:val="Normal"/>
        <w:bidi w:val="0"/>
        <w:spacing w:before="0" w:after="0"/>
        <w:jc w:val="left"/>
        <w:rPr>
          <w:sz w:val="4"/>
          <w:szCs w:val="4"/>
        </w:rPr>
      </w:pPr>
      <w:r>
        <w:rPr>
          <w:sz w:val="4"/>
          <w:szCs w:val="4"/>
        </w:rPr>
      </w:r>
      <w:bookmarkStart w:id="9" w:name="Tc_lA26tLu1TUG2xTL8MTlVJA_19_5"/>
      <w:bookmarkStart w:id="10" w:name="Tc_Ay0A2kMBMkOvliMGA-481Q_19_2"/>
      <w:bookmarkStart w:id="11" w:name="Tc_wUPzN566kUeU9CGXr8COZA_19_0"/>
      <w:bookmarkStart w:id="12" w:name="Tc_0Is9jYWcfUKChc_-VQDg2Q_17_3"/>
      <w:bookmarkStart w:id="13" w:name="Tc_cFGx8o9_1EGUc7LBs6sQbg_17_0"/>
      <w:bookmarkStart w:id="14" w:name="Tc_OIqswz7im0SrAj-TMY2JSQ_16_0"/>
      <w:bookmarkStart w:id="15" w:name="Tc_guFJwRsA40qfd56TEy0qWQ_14_0"/>
      <w:bookmarkStart w:id="16" w:name="Tc_5bWYRJ3ZFEqznt5S9oLCvQ_13_0"/>
      <w:bookmarkStart w:id="17" w:name="Tc_mu3swrhTOUWAWveiCNZ_gQ_12_0"/>
      <w:bookmarkStart w:id="18" w:name="Tc_3uC-bqwgZkCoU64CotoKjw_11_0"/>
      <w:bookmarkStart w:id="19" w:name="Tc_ESHAkdnmy0237SrqNbKZIA_9_0"/>
      <w:bookmarkStart w:id="20" w:name="Tc_-b6bTzfEmECtJh2eRgaieQ_8_0"/>
      <w:bookmarkStart w:id="21" w:name="Tc_AjWI_nDG-Euab1S0mToPxA_7_0"/>
      <w:bookmarkStart w:id="22" w:name="Tc_pxrA6Vo680GrGxF8FiTSJg_6_0"/>
      <w:bookmarkStart w:id="23" w:name="Tc_w7VBh-NbgkyGO7p_Ydk-zw_5_5"/>
      <w:bookmarkStart w:id="24" w:name="Tc_Wm6MqhWtuUiV0MugjiAwEw_5_2"/>
      <w:bookmarkStart w:id="25" w:name="Tc_hUhq86MonUu3lCYS_UsB8g_5_0"/>
      <w:bookmarkStart w:id="26" w:name="Tc_tOmTk7Ylr06abjyXeZyJcA_4_0"/>
      <w:bookmarkStart w:id="27" w:name="Tc_gOsHdqg_3U-bpwX4fWhdCA_3_0"/>
      <w:bookmarkStart w:id="28" w:name="Tc_qlmyLxJYNEmW6Plt7yjOCQ_2_5"/>
      <w:bookmarkStart w:id="29" w:name="Tc_n33CA7sBzUSMwZTE3PtjNQ_2_2"/>
      <w:bookmarkStart w:id="30" w:name="Tc_BwOwQwcUBkC3cqb8mZH3NQ_1_5"/>
      <w:bookmarkStart w:id="31" w:name="Tc_DKA4vw09SkWk56WCQYiBLA_1_2"/>
      <w:bookmarkStart w:id="32" w:name="_8acdfe81_8270_4001_9f77_49b68a1a650d"/>
      <w:bookmarkStart w:id="33" w:name="Tc_lA26tLu1TUG2xTL8MTlVJA_19_5"/>
      <w:bookmarkStart w:id="34" w:name="Tc_Ay0A2kMBMkOvliMGA-481Q_19_2"/>
      <w:bookmarkStart w:id="35" w:name="Tc_wUPzN566kUeU9CGXr8COZA_19_0"/>
      <w:bookmarkStart w:id="36" w:name="Tc_0Is9jYWcfUKChc_-VQDg2Q_17_3"/>
      <w:bookmarkStart w:id="37" w:name="Tc_cFGx8o9_1EGUc7LBs6sQbg_17_0"/>
      <w:bookmarkStart w:id="38" w:name="Tc_OIqswz7im0SrAj-TMY2JSQ_16_0"/>
      <w:bookmarkStart w:id="39" w:name="Tc_guFJwRsA40qfd56TEy0qWQ_14_0"/>
      <w:bookmarkStart w:id="40" w:name="Tc_5bWYRJ3ZFEqznt5S9oLCvQ_13_0"/>
      <w:bookmarkStart w:id="41" w:name="Tc_mu3swrhTOUWAWveiCNZ_gQ_12_0"/>
      <w:bookmarkStart w:id="42" w:name="Tc_3uC-bqwgZkCoU64CotoKjw_11_0"/>
      <w:bookmarkStart w:id="43" w:name="Tc_ESHAkdnmy0237SrqNbKZIA_9_0"/>
      <w:bookmarkStart w:id="44" w:name="Tc_-b6bTzfEmECtJh2eRgaieQ_8_0"/>
      <w:bookmarkStart w:id="45" w:name="Tc_AjWI_nDG-Euab1S0mToPxA_7_0"/>
      <w:bookmarkStart w:id="46" w:name="Tc_pxrA6Vo680GrGxF8FiTSJg_6_0"/>
      <w:bookmarkStart w:id="47" w:name="Tc_w7VBh-NbgkyGO7p_Ydk-zw_5_5"/>
      <w:bookmarkStart w:id="48" w:name="Tc_Wm6MqhWtuUiV0MugjiAwEw_5_2"/>
      <w:bookmarkStart w:id="49" w:name="Tc_hUhq86MonUu3lCYS_UsB8g_5_0"/>
      <w:bookmarkStart w:id="50" w:name="Tc_tOmTk7Ylr06abjyXeZyJcA_4_0"/>
      <w:bookmarkStart w:id="51" w:name="Tc_gOsHdqg_3U-bpwX4fWhdCA_3_0"/>
      <w:bookmarkStart w:id="52" w:name="Tc_qlmyLxJYNEmW6Plt7yjOCQ_2_5"/>
      <w:bookmarkStart w:id="53" w:name="Tc_n33CA7sBzUSMwZTE3PtjNQ_2_2"/>
      <w:bookmarkStart w:id="54" w:name="Tc_BwOwQwcUBkC3cqb8mZH3NQ_1_5"/>
      <w:bookmarkStart w:id="55" w:name="Tc_DKA4vw09SkWk56WCQYiBLA_1_2"/>
      <w:bookmarkStart w:id="56" w:name="_8acdfe81_8270_4001_9f77_49b68a1a650d"/>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bl>
      <w:tblPr>
        <w:tblW w:w="5653" w:type="dxa"/>
        <w:jc w:val="left"/>
        <w:tblInd w:w="0" w:type="dxa"/>
        <w:tblLayout w:type="fixed"/>
        <w:tblCellMar>
          <w:top w:w="0" w:type="dxa"/>
          <w:left w:w="0" w:type="dxa"/>
          <w:bottom w:w="0" w:type="dxa"/>
          <w:right w:w="0" w:type="dxa"/>
        </w:tblCellMar>
      </w:tblPr>
      <w:tblGrid>
        <w:gridCol w:w="2926"/>
        <w:gridCol w:w="109"/>
        <w:gridCol w:w="196"/>
        <w:gridCol w:w="1006"/>
        <w:gridCol w:w="109"/>
        <w:gridCol w:w="196"/>
        <w:gridCol w:w="1111"/>
      </w:tblGrid>
      <w:tr>
        <w:trPr/>
        <w:tc>
          <w:tcPr>
            <w:tcW w:w="29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r>
      <w:tr>
        <w:trPr/>
        <w:tc>
          <w:tcPr>
            <w:tcW w:w="29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0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109" w:type="dxa"/>
            <w:tcBorders/>
            <w:vAlign w:val="center"/>
          </w:tcPr>
          <w:p>
            <w:pPr>
              <w:pStyle w:val="TableContents"/>
              <w:bidi w:val="0"/>
              <w:spacing w:before="0" w:after="1"/>
              <w:ind w:left="0" w:right="0" w:hanging="0"/>
              <w:jc w:val="left"/>
              <w:rPr/>
            </w:pPr>
            <w:r>
              <w:rPr/>
              <w:t>​</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29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Investments, at fair value: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Stable value fund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21,740,195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22,376,223</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Mutual funds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163,411,585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139,845,497</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collective trusts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528,035,568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457,433,164</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Valmont Industries, Inc. common stock</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38,295,874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32,154,865</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investments, at fair value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751,483,222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651,809,749</w:t>
            </w:r>
          </w:p>
        </w:tc>
      </w:tr>
      <w:tr>
        <w:trPr/>
        <w:tc>
          <w:tcPr>
            <w:tcW w:w="29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Notes receivable from participants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14,925,876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13,681,901</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Due from broker for securities sold</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4,856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3,947</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receivables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14,930,732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13,685,848</w:t>
            </w:r>
          </w:p>
        </w:tc>
      </w:tr>
      <w:tr>
        <w:trPr/>
        <w:tc>
          <w:tcPr>
            <w:tcW w:w="29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Excess contributions payable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2,054</w:t>
            </w:r>
          </w:p>
        </w:tc>
      </w:tr>
      <w:tr>
        <w:trPr/>
        <w:tc>
          <w:tcPr>
            <w:tcW w:w="29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assets available for benefits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766,413,954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665,493,543</w:t>
            </w:r>
          </w:p>
        </w:tc>
      </w:tr>
    </w:tbl>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the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28" w:before="0" w:after="0"/>
        <w:ind w:left="0" w:right="0" w:hanging="0"/>
        <w:jc w:val="center"/>
        <w:rPr>
          <w:rFonts w:ascii="Times New Roman;Times;serif" w:hAnsi="Times New Roman;Times;serif"/>
          <w:b/>
          <w:sz w:val="20"/>
        </w:rPr>
      </w:pPr>
      <w:bookmarkStart w:id="57" w:name="STATEMENTSOFCHANGESINNETASSETSAVAILABLEF"/>
      <w:bookmarkStart w:id="58" w:name="_558ab423_7425_47b6_8ef0_7e999f8db688"/>
      <w:bookmarkEnd w:id="57"/>
      <w:bookmarkEnd w:id="58"/>
      <w:r>
        <w:rPr>
          <w:rFonts w:ascii="Times New Roman;Times;serif" w:hAnsi="Times New Roman;Times;serif"/>
          <w:b/>
          <w:sz w:val="20"/>
        </w:rPr>
        <w:t>VALMONT EMPLOYEE RETIREMENT SAVINGS PLAN</w:t>
      </w:r>
    </w:p>
    <w:p>
      <w:pPr>
        <w:pStyle w:val="TextBody"/>
        <w:bidi w:val="0"/>
        <w:spacing w:lineRule="auto" w:line="328" w:before="0" w:after="480"/>
        <w:ind w:left="0" w:right="0" w:hanging="0"/>
        <w:jc w:val="center"/>
        <w:rPr>
          <w:rFonts w:ascii="Times New Roman;Times;serif" w:hAnsi="Times New Roman;Times;serif"/>
          <w:b/>
          <w:sz w:val="20"/>
        </w:rPr>
      </w:pPr>
      <w:r>
        <w:rPr>
          <w:rFonts w:ascii="Times New Roman;Times;serif" w:hAnsi="Times New Roman;Times;serif"/>
          <w:b/>
          <w:sz w:val="20"/>
        </w:rPr>
        <w:t>STATEMENTS OF CHANGES IN NET ASSETS AVAILABLE FOR BENEFITS</w:t>
      </w:r>
    </w:p>
    <w:p>
      <w:pPr>
        <w:pStyle w:val="Normal"/>
        <w:bidi w:val="0"/>
        <w:spacing w:before="0" w:after="0"/>
        <w:jc w:val="left"/>
        <w:rPr>
          <w:sz w:val="4"/>
          <w:szCs w:val="4"/>
        </w:rPr>
      </w:pPr>
      <w:r>
        <w:rPr>
          <w:sz w:val="4"/>
          <w:szCs w:val="4"/>
        </w:rPr>
      </w:r>
      <w:bookmarkStart w:id="59" w:name="Tc_Y_olBOQZy0GYbzeJY6JkXw_27_5"/>
      <w:bookmarkStart w:id="60" w:name="Tc_ytJmauydnUiWdMuBemk41g_27_2"/>
      <w:bookmarkStart w:id="61" w:name="Tc_VS3Kc7cAdUazlNcTrLMdEg_27_0"/>
      <w:bookmarkStart w:id="62" w:name="Tc_xT8ZxpY6Rk6pyXhIvJNMLQ_26_0"/>
      <w:bookmarkStart w:id="63" w:name="Tc__KsgSp6YIky_gajixfteBA_25_0"/>
      <w:bookmarkStart w:id="64" w:name="Tc_e91nOnC_kEmhGDgAegSVWg_23_0"/>
      <w:bookmarkStart w:id="65" w:name="Tc_J9vmkmQRX0KoVGleGwFBXQ_21_0"/>
      <w:bookmarkStart w:id="66" w:name="Tc_rKzpfa81n0CSgIoDj4nt3w_20_0"/>
      <w:bookmarkStart w:id="67" w:name="Tc_DVj3NRI8906fmTtk3elFzA_19_0"/>
      <w:bookmarkStart w:id="68" w:name="Tc_GA8wgqJbGUayG2eO4wMUWg_18_0"/>
      <w:bookmarkStart w:id="69" w:name="Tc_gPTbHMvj40KiLp_rP39-VA_16_0"/>
      <w:bookmarkStart w:id="70" w:name="Tc_AhITm0YfVEWfrP5CGJQwJw_15_0"/>
      <w:bookmarkStart w:id="71" w:name="Tc_rIkJIIstoEKN7UdJK0l6QA_14_0"/>
      <w:bookmarkStart w:id="72" w:name="Tc_5pw_WOUyBEKEGfB8Mx2KOQ_13_0"/>
      <w:bookmarkStart w:id="73" w:name="Tc_P_VmiEBCLUS_wpkPrvSzKg_12_0"/>
      <w:bookmarkStart w:id="74" w:name="Tc_UXLmJVp-tUOiRaFVqImoNg_10_0"/>
      <w:bookmarkStart w:id="75" w:name="Tc__13UKA92_kKxipFTeM86cg_8_0"/>
      <w:bookmarkStart w:id="76" w:name="Tc_1RF7SdAR9UKRcW4RPF0QoQ_7_0"/>
      <w:bookmarkStart w:id="77" w:name="Tc_OWrMC7jdwE2vxsRT-K3-KQ_6_5"/>
      <w:bookmarkStart w:id="78" w:name="Tc_JijBH68J2UKL_Fc58EF_Zw_6_2"/>
      <w:bookmarkStart w:id="79" w:name="Tc_r2akOCBEK0q23WstBZDoPg_6_0"/>
      <w:bookmarkStart w:id="80" w:name="Tc_ueWwcbB3kkqYTI3SvEzL6g_5_0"/>
      <w:bookmarkStart w:id="81" w:name="Tc_OsgmNYtb80yg8i1Me_VyEQ_4_0"/>
      <w:bookmarkStart w:id="82" w:name="Tc_t-a8BS8_sU2UpzlioajEXA_3_5"/>
      <w:bookmarkStart w:id="83" w:name="Tc_jlW8-sKoOUCnZ8eU11xocA_3_2"/>
      <w:bookmarkStart w:id="84" w:name="Tc_14zOQHAnjkCe-qOsOA_fQg_2_5"/>
      <w:bookmarkStart w:id="85" w:name="Tc_iQCOz4E50EW0C75Ac8nYhg_2_2"/>
      <w:bookmarkStart w:id="86" w:name="Tc_NYVIV5wQIEOY6E9GechGxw_1_2"/>
      <w:bookmarkStart w:id="87" w:name="_56c3714a_3944_4ec6_b50c_364afc3351f0"/>
      <w:bookmarkStart w:id="88" w:name="Tc_Y_olBOQZy0GYbzeJY6JkXw_27_5"/>
      <w:bookmarkStart w:id="89" w:name="Tc_ytJmauydnUiWdMuBemk41g_27_2"/>
      <w:bookmarkStart w:id="90" w:name="Tc_VS3Kc7cAdUazlNcTrLMdEg_27_0"/>
      <w:bookmarkStart w:id="91" w:name="Tc_xT8ZxpY6Rk6pyXhIvJNMLQ_26_0"/>
      <w:bookmarkStart w:id="92" w:name="Tc__KsgSp6YIky_gajixfteBA_25_0"/>
      <w:bookmarkStart w:id="93" w:name="Tc_e91nOnC_kEmhGDgAegSVWg_23_0"/>
      <w:bookmarkStart w:id="94" w:name="Tc_J9vmkmQRX0KoVGleGwFBXQ_21_0"/>
      <w:bookmarkStart w:id="95" w:name="Tc_rKzpfa81n0CSgIoDj4nt3w_20_0"/>
      <w:bookmarkStart w:id="96" w:name="Tc_DVj3NRI8906fmTtk3elFzA_19_0"/>
      <w:bookmarkStart w:id="97" w:name="Tc_GA8wgqJbGUayG2eO4wMUWg_18_0"/>
      <w:bookmarkStart w:id="98" w:name="Tc_gPTbHMvj40KiLp_rP39-VA_16_0"/>
      <w:bookmarkStart w:id="99" w:name="Tc_AhITm0YfVEWfrP5CGJQwJw_15_0"/>
      <w:bookmarkStart w:id="100" w:name="Tc_rIkJIIstoEKN7UdJK0l6QA_14_0"/>
      <w:bookmarkStart w:id="101" w:name="Tc_5pw_WOUyBEKEGfB8Mx2KOQ_13_0"/>
      <w:bookmarkStart w:id="102" w:name="Tc_P_VmiEBCLUS_wpkPrvSzKg_12_0"/>
      <w:bookmarkStart w:id="103" w:name="Tc_UXLmJVp-tUOiRaFVqImoNg_10_0"/>
      <w:bookmarkStart w:id="104" w:name="Tc__13UKA92_kKxipFTeM86cg_8_0"/>
      <w:bookmarkStart w:id="105" w:name="Tc_1RF7SdAR9UKRcW4RPF0QoQ_7_0"/>
      <w:bookmarkStart w:id="106" w:name="Tc_OWrMC7jdwE2vxsRT-K3-KQ_6_5"/>
      <w:bookmarkStart w:id="107" w:name="Tc_JijBH68J2UKL_Fc58EF_Zw_6_2"/>
      <w:bookmarkStart w:id="108" w:name="Tc_r2akOCBEK0q23WstBZDoPg_6_0"/>
      <w:bookmarkStart w:id="109" w:name="Tc_ueWwcbB3kkqYTI3SvEzL6g_5_0"/>
      <w:bookmarkStart w:id="110" w:name="Tc_OsgmNYtb80yg8i1Me_VyEQ_4_0"/>
      <w:bookmarkStart w:id="111" w:name="Tc_t-a8BS8_sU2UpzlioajEXA_3_5"/>
      <w:bookmarkStart w:id="112" w:name="Tc_jlW8-sKoOUCnZ8eU11xocA_3_2"/>
      <w:bookmarkStart w:id="113" w:name="Tc_14zOQHAnjkCe-qOsOA_fQg_2_5"/>
      <w:bookmarkStart w:id="114" w:name="Tc_iQCOz4E50EW0C75Ac8nYhg_2_2"/>
      <w:bookmarkStart w:id="115" w:name="Tc_NYVIV5wQIEOY6E9GechGxw_1_2"/>
      <w:bookmarkStart w:id="116" w:name="_56c3714a_3944_4ec6_b50c_364afc3351f0"/>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bl>
      <w:tblPr>
        <w:tblW w:w="6568" w:type="dxa"/>
        <w:jc w:val="left"/>
        <w:tblInd w:w="0" w:type="dxa"/>
        <w:tblLayout w:type="fixed"/>
        <w:tblCellMar>
          <w:top w:w="0" w:type="dxa"/>
          <w:left w:w="0" w:type="dxa"/>
          <w:bottom w:w="0" w:type="dxa"/>
          <w:right w:w="0" w:type="dxa"/>
        </w:tblCellMar>
      </w:tblPr>
      <w:tblGrid>
        <w:gridCol w:w="3841"/>
        <w:gridCol w:w="109"/>
        <w:gridCol w:w="196"/>
        <w:gridCol w:w="1006"/>
        <w:gridCol w:w="109"/>
        <w:gridCol w:w="196"/>
        <w:gridCol w:w="1111"/>
      </w:tblGrid>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 ended</w: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0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109" w:type="dxa"/>
            <w:tcBorders/>
            <w:vAlign w:val="center"/>
          </w:tcPr>
          <w:p>
            <w:pPr>
              <w:pStyle w:val="TableContents"/>
              <w:bidi w:val="0"/>
              <w:spacing w:before="0" w:after="1"/>
              <w:ind w:left="0" w:right="0" w:hanging="0"/>
              <w:jc w:val="left"/>
              <w:rPr/>
            </w:pPr>
            <w:r>
              <w:rPr/>
              <w:t>​</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w: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Additions to net assets attributed to:</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income: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appreciation in investments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111,434,824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80,886,724</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and dividends on investments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7,412,494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2,639,142</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investment income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118,847,318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83,525,866</w: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 on notes receivable from participants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1,158,831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995,951</w: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Contributions: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Employer</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20,217,903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18,766,164</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Participant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39,571,597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37,661,593</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Rollover</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3,994,448</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2,377,124</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contributions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63,783,948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58,804,881</w: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Deductions from net assets attributed to:</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Benefits paid to participants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82,046,683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84,389,636</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Administrative expenses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823,003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823,846</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deductions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82,869,686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85,213,482</w: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net assets available for benefits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100,920,411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58,113,216</w: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assets available for benefits: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Beginning of year</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665,493,543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607,380,327</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End of year</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766,413,954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665,493,543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Financial Statements.</w:t>
      </w:r>
    </w:p>
    <w:p>
      <w:pPr>
        <w:pStyle w:val="TextBody"/>
        <w:bidi w:val="0"/>
        <w:spacing w:before="0" w:after="0"/>
        <w:ind w:left="0" w:right="0" w:hanging="0"/>
        <w:jc w:val="left"/>
        <w:rPr/>
      </w:pPr>
      <w:bookmarkStart w:id="117" w:name="_1_BASIS_OF"/>
      <w:bookmarkEnd w:id="117"/>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28" w:before="0" w:after="0"/>
        <w:ind w:left="0" w:right="0" w:hanging="0"/>
        <w:jc w:val="center"/>
        <w:rPr>
          <w:rFonts w:ascii="Times New Roman;Times;serif" w:hAnsi="Times New Roman;Times;serif"/>
          <w:b/>
          <w:sz w:val="20"/>
        </w:rPr>
      </w:pPr>
      <w:bookmarkStart w:id="118" w:name="_a6ed19af_b69c_41fc_ba8b_6b11f06aa5f3"/>
      <w:bookmarkEnd w:id="118"/>
      <w:r>
        <w:rPr>
          <w:rFonts w:ascii="Times New Roman;Times;serif" w:hAnsi="Times New Roman;Times;serif"/>
          <w:b/>
          <w:sz w:val="20"/>
        </w:rPr>
        <w:t>VALMONT EMPLOYEE RETIREMENT SAVINGS PLAN</w:t>
      </w:r>
    </w:p>
    <w:p>
      <w:pPr>
        <w:pStyle w:val="TextBody"/>
        <w:bidi w:val="0"/>
        <w:spacing w:lineRule="auto" w:line="328"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FINANCIAL STATEMENTS</w:t>
      </w:r>
    </w:p>
    <w:p>
      <w:pPr>
        <w:pStyle w:val="TextBody"/>
        <w:bidi w:val="0"/>
        <w:spacing w:before="0" w:after="240"/>
        <w:ind w:left="0" w:right="0" w:hanging="0"/>
        <w:jc w:val="left"/>
        <w:rPr>
          <w:rFonts w:ascii="Times New Roman;Times;serif" w:hAnsi="Times New Roman;Times;serif"/>
          <w:b/>
          <w:sz w:val="20"/>
        </w:rPr>
      </w:pPr>
      <w:bookmarkStart w:id="119" w:name="NOTESTOFINANCIALSTATEMENTS"/>
      <w:bookmarkEnd w:id="119"/>
      <w:r>
        <w:rPr>
          <w:rFonts w:ascii="Times New Roman;Times;serif" w:hAnsi="Times New Roman;Times;serif"/>
          <w:b/>
          <w:sz w:val="20"/>
        </w:rPr>
        <w:t>(1) DESCRIPTION OF THE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description of the Valmont Industries, Inc. (the “Company” or “Plan Sponsor”) Valmont Employee Retirement Savings Plan (the “Plan”) provides general information. Participants should refer to the Plan document for a complete description of its provisions.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Plan qualifies under Section 401(a) of the Internal Revenue Code (“IRC”) of 1986, as amended, and covers regular employees, as defined in the Plan document, beginning on the first day of the month following their date of hire. The Human Resources Committee of the Company’s Board of Directors oversees the Plan’s operation and administration. Fidelity Investments (“Fidelity”) serves as the Plan’s trustee. The Plan is subject to the provisions of the Employee Retirement Income Security Act of 1974, as amended (“ERISA”).</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Contributions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Participants may contribute to the Plan on a pre-tax or Roth basis, up to 75% of their annual eligible compensation (as defined by the Plan), subject to IRC limitations. Employees who do not make an affirmative deferral election are automatically enrolled with a pre-tax deferral of 6% of their eligible compensation. Participants may modify their contributions at any time to select a different deferral amount or opt out of the Plan. Additionally, participants may make rollover contributions from previous employers’ qualified plans or Individual Retirement Accounts (“IRAs”).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matches 75% of the first 6% of eligible compensation that a participant contributes to the Plan unless the participant is covered by a collective bargaining agreement, in which case the agreement’s terms apply.</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Participant Accounts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participant’s account is credited with their contributions and any associated Company contributions. The account also reflects allocations of Plan earnings or losses based on the participant’s investment elections and is subject to certain administrative expenses. Allocations of earnings and losses are based on participant account balances, as defined in the Plan. The benefit a participant is eligible to receive is determined by the value of their vested account balance.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enrollment in the Plan, participants may allocate employee and employer contributions in 1% increments across various investment options. The Plan currently offers common collective trusts (including a stable value fund), mutual funds, and Valmont Industries, Inc. common stock. Participants may change their investment allocations daily, subject to individual fund restrictions and the Company’s Insider Trading Policy. Participants may not elect more than 25% of their contributions to be invested in the Valmont Stock Fund and no transfer of funds may be made from another fund into the Valmont Stock Fund to the extent such transfer would result in the participant’s interest in the Valmont Stock Fund exceeding 25% of the participant’s combined account.</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Vesting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Participants’ contributions and related investment earnings are immediately vested. Vesting in the Company’s matching contributions and related earnings occurs at a rate of 25% per year of service, with full vesting after four years.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Notes Receivable from Participants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Plan allows participants to borrow a minimum of $1,000, with a maximum loan amount equal to the lesser of $50,000 or 50% of their vested account balance. Loans bear a reasonable interest rate, determined by the Plan Administrator, and remain fixed throughout the loan’s duration. Participants may only have one outstanding loan at a time. All loans must be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repaid in at least quarterly installments over no more than five years. Loan origination transactions are treated as transfers between the investment funds and participants’ loan balances.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Benefit Payments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termination of employment with the Company (including due to death, disability, or retirement), participants may receive distributions as a lump sum or periodic installments. Participants may also take hardship withdrawals under certain financial hardship conditions, subject to Internal Revenue Service (“IRS”) guidelines. After a hardship withdrawal, participants remain eligible to contribute to the Plan without delay.</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Forfeitures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 a participant terminates employment or otherwise ceases participation in the Plan under certain conditions, the nonvested portion of their account, as defined by the Plan, is forfeited. As of December 31, 2025 and 2024, forfeited nonvested account balances totaled $157,674 and $160,864, respectively. These forfeitures are used to reduce future employer contributions. During the years ended December 31, 2025 and 2024, employer contributions were reduced by $1,119,051 and $1,541,774, respectively, due to forfeited nonvested accounts.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Subsequent Events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Subsequent events were evaluated through June 19, 2026, the date on which the financial statements were available to be issued. No events occurred that require additional disclosure or adjustments to the Plan’s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Basis of Accounting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financial statements have been prepared in accordance with accounting principles generally accepted in the United States of America (“U.S. GAAP”).</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liabilities, and changes therein, as well as the disclosure of contingent assets and liabilities. Actual results may differ from these estimates.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Plan invests in various investment securities, which are subject to risks such as interest rate, market, and credit risks. Due to the inherent risks associated with certain investment securities, it is at least reasonably possible that changes in their values could occur in the near term and materially impact the amounts reported in the Statements of Net Assets Available for Benefits.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Investment Valuation and Income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Plan’s investments are reported at fair value. The fair value of a financial instrument represents the price that would be received to sell an asset or paid to transfer a liability in an orderly transaction between market participants at the measurement date. Shares of mutual funds managed by registered investment companies are valued at quoted net asset values. Common collective trusts are valued based on their proportionate share of gains, losses, and income from the underlying pooled assets, which primarily consist of open-end mutual funds. The Company’s common stock is valued at its quoted market price. Realized gains and losses on sales of investments, as well as unrealized appreciation and depreciation, are based on market values at the beginning of the year or, if acquired during the year, at cost.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stable value fund is a bank common collective trust fund that invests in fully benefit-responsive investment contracts. It is valued at the fair market value of its underlying investments and reported at fair value in the Statement of Net Assets Available for Benefits, using net asset value as a practical expedient (further discussed in Note 3). The fund requires a 12-month written notice period for withdrawals initiated by the Plan Sponsor.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Purchases and sales of securities are recorded on a trade-date basis. Interest income is recorded on an accrual basis, and dividends are recorded on the ex-dividend date. Net appreciation (depreciation) includes gains and losses on investments bought and sold, as well as those held during the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fees and operating expenses for mutual funds and common collective trust funds are deducted from investment income daily and are not separately disclosed. Accordingly, these fees and expenses reduce reported investment returns.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Notes Receivable from Participants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Notes receivable from participants are recorded at their unpaid principal balance, plus any accrued but unpaid interest. Delinquent participant loans are reclassified as benefits paid to participants in accordance with Plan terms.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Administrative expenses of the Plan are paid by either the Plan or the Plan Sponsor, as specified in the Plan document.</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Payment of Benefits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Benefits are recorded when paid. As of December 31, 2025 and 2024, no participants had elected to withdraw from the Plan but had not yet been paid.</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Excess Contributions Payable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Plan is required to return contributions received during the Plan year in excess of IRC limits. As of December 31, 2025 and 2024, there were excess contributions due to participants of $0 and $2,054,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Financial Accounting Standards Board (“FASB”) Accounting Standards Codification (“ASC”) 820, </w:t>
      </w:r>
      <w:r>
        <w:rPr>
          <w:rFonts w:ascii="Times New Roman;Times;serif" w:hAnsi="Times New Roman;Times;serif"/>
          <w:i/>
          <w:sz w:val="20"/>
        </w:rPr>
        <w:t>Fair Value Measurement</w:t>
      </w:r>
      <w:r>
        <w:rPr>
          <w:rFonts w:ascii="Times New Roman;Times;serif" w:hAnsi="Times New Roman;Times;serif"/>
          <w:sz w:val="20"/>
        </w:rPr>
        <w:t>, provides the framework for measuring fair value. This framework establishes a fair value hierarchy that prioritizes the inputs used in valuation techniques to measure fair value. The hierarchy assigns 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Level 1</w:t>
      </w:r>
      <w:r>
        <w:rPr>
          <w:rFonts w:ascii="Times New Roman;Times;serif" w:hAnsi="Times New Roman;Times;serif"/>
          <w:sz w:val="20"/>
        </w:rPr>
        <w:t>: Inputs to the valuation methodology are unadjusted quoted prices for identical assets or liabilities in active markets that the Plan has the ability to access.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Level 2</w:t>
      </w:r>
      <w:r>
        <w:rPr>
          <w:rFonts w:ascii="Times New Roman;Times;serif" w:hAnsi="Times New Roman;Times;serif"/>
          <w:sz w:val="20"/>
        </w:rPr>
        <w:t>: Inputs to the valuation methodology include quoted prices for similar assets or liabilities in active markets; quoted prices for identical or similar assets or liabilities in inactive markets; inputs other than quoted prices that are observable for the asset or liability;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i/>
          <w:sz w:val="20"/>
        </w:rPr>
        <w:t>Level 3</w:t>
      </w:r>
      <w:r>
        <w:rPr>
          <w:rFonts w:ascii="Times New Roman;Times;serif" w:hAnsi="Times New Roman;Times;serif"/>
          <w:sz w:val="20"/>
        </w:rPr>
        <w:t>: Inputs to the valuation methodology are unobservable and significant to the fair value measurement.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Assets are classified in their entirety based on the lowest level of input that is significant to the fair value measurement. Valuation techniques maximize the use of relevant observable inputs and minimize the use of unobservable inputs. The following is a description of the valuation methodologies used for assets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Common Stock</w:t>
      </w:r>
      <w:r>
        <w:rPr>
          <w:rFonts w:ascii="Times New Roman;Times;serif" w:hAnsi="Times New Roman;Times;serif"/>
          <w:sz w:val="20"/>
        </w:rPr>
        <w:t>: Valued at the closing price reported in the active market where the securities are traded.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Mutual Funds</w:t>
      </w:r>
      <w:r>
        <w:rPr>
          <w:rFonts w:ascii="Times New Roman;Times;serif" w:hAnsi="Times New Roman;Times;serif"/>
          <w:sz w:val="20"/>
        </w:rPr>
        <w:t>: Valued at the daily closing price as reported by the fund. The mutual funds held by the Plan are open-end mutual funds registered with the Securities and Exchange Commission (“SEC”). These funds are required to publish their daily net asset value and transact at that price, making them actively traded.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20" w:name="Tc_6B0L--y-fkCQgwWxHWnQfg_14_11"/>
      <w:bookmarkStart w:id="121" w:name="Tc_TI6NW6VnFkqbmkYCjI8yfQ_14_0"/>
      <w:bookmarkStart w:id="122" w:name="Tc_NiPhF2zFpE6QhBWl3GjJgw_12_0"/>
      <w:bookmarkStart w:id="123" w:name="Tc_eg2xAKrVAUGtpCl5_zKiPA_11_0"/>
      <w:bookmarkStart w:id="124" w:name="Tc_jCHILI9dcEiW4Vu3pPOhUg_10_0"/>
      <w:bookmarkStart w:id="125" w:name="Tc_fiQHnzjc9kqF18faQNwwDw_9_0"/>
      <w:bookmarkStart w:id="126" w:name="Tc_Vr65ciw-VEy0ghui_hFqew_7_11"/>
      <w:bookmarkStart w:id="127" w:name="Tc_c-iIiezPnUO0e4MDpaGAAw_7_9"/>
      <w:bookmarkStart w:id="128" w:name="Tc_3IiGimEx6UepBZnNwtKdEQ_7_8"/>
      <w:bookmarkStart w:id="129" w:name="Tc_PqDyd2wOb0i4UwE86fdPIQ_7_6"/>
      <w:bookmarkStart w:id="130" w:name="Tc_0ZlBqj5yz0GHL5Ve7mRLiQ_7_5"/>
      <w:bookmarkStart w:id="131" w:name="Tc_V1Kkp7zF9Uau8dBi_OqvXg_7_2"/>
      <w:bookmarkStart w:id="132" w:name="Tc_uKIPjK-E3k6mH44zEJbr6g_7_0"/>
      <w:bookmarkStart w:id="133" w:name="Tc_eWYWBPtrfUuxVG4IMBbUCw_6_9"/>
      <w:bookmarkStart w:id="134" w:name="Tc_kKDd2LD9D026Dc6iKzDbGA_6_6"/>
      <w:bookmarkStart w:id="135" w:name="Tc_o6DmIzkRPk2kFCxlKkXwsQ_6_0"/>
      <w:bookmarkStart w:id="136" w:name="Tc_3bQqye7E_EefrZTedzH_4g_5_11"/>
      <w:bookmarkStart w:id="137" w:name="Tc_8X_XkZu0lk63m-YCoizQCg_5_9"/>
      <w:bookmarkStart w:id="138" w:name="Tc_KhufzhO7NUGL6IKdKK1x0w_5_8"/>
      <w:bookmarkStart w:id="139" w:name="Tc_9bnPoon3LUGt6nPcpr22DA_5_6"/>
      <w:bookmarkStart w:id="140" w:name="Tc_I89vh8OHQUix8cqRAy-nOw_5_5"/>
      <w:bookmarkStart w:id="141" w:name="Tc_qkr-qtS_6ESvh58_DOUAzQ_5_2"/>
      <w:bookmarkStart w:id="142" w:name="Tc_yWBxuwHFH0SM0IRgC_a2vw_5_0"/>
      <w:bookmarkStart w:id="143" w:name="Tc__AkZV6bGQEywkAWA5y3eZQ_4_0"/>
      <w:bookmarkStart w:id="144" w:name="Tc_clcbgXvMU06QyRg0e5gEPA_2_11"/>
      <w:bookmarkStart w:id="145" w:name="Tc_CrpLqGlNwUipqf55JFKOzg_2_8"/>
      <w:bookmarkStart w:id="146" w:name="Tc_x7VXYrgjy0Gx06DgFSv9Hw_2_5"/>
      <w:bookmarkStart w:id="147" w:name="Tc_0zW_gFlkhUi9Uo4rmufI-Q_2_2"/>
      <w:bookmarkStart w:id="148" w:name="Tc_SZncNCj4jkmsix8iaqGD1Q_1_2"/>
      <w:bookmarkStart w:id="149" w:name="_bbeadc23_3028_4d35_8f54_0cff0d2a899c"/>
      <w:bookmarkStart w:id="150" w:name="Tc_gjcRAHp9MEy0xxej7qyvUg_14_11"/>
      <w:bookmarkStart w:id="151" w:name="Tc_ca2LjnYU0UOqbvZF8R1OVw_14_0"/>
      <w:bookmarkStart w:id="152" w:name="Tc_mhCT2mohKkiORrJyumMbbA_12_0"/>
      <w:bookmarkStart w:id="153" w:name="Tc_M9NwfexhNEePxGaMQ0qo2w_11_0"/>
      <w:bookmarkStart w:id="154" w:name="Tc_b-OlPoruUkuvtemPdNyi7Q_10_0"/>
      <w:bookmarkStart w:id="155" w:name="Tc_myOBXB-ixkeBN7r9eYjl0A_9_0"/>
      <w:bookmarkStart w:id="156" w:name="Tc_wx5TizjMjUONhrEZ-khEbw_7_11"/>
      <w:bookmarkStart w:id="157" w:name="Tc_QgO7MoOa8UKKhOeq1iPe_A_7_9"/>
      <w:bookmarkStart w:id="158" w:name="Tc_pncdBRfvckCuLI_wLe3O_Q_7_8"/>
      <w:bookmarkStart w:id="159" w:name="Tc_LI_h6FV5v02ts0KpyrJg3w_7_6"/>
      <w:bookmarkStart w:id="160" w:name="Tc_K-LIuGyBKkeDFckG1bPNLw_7_5"/>
      <w:bookmarkStart w:id="161" w:name="Tc_DWXcoM4XY02ynS7qyg8haA_7_2"/>
      <w:bookmarkStart w:id="162" w:name="Tc_9ScyEBl-hkmRTAbe0-dkVw_7_0"/>
      <w:bookmarkStart w:id="163" w:name="Tc_Komf7ziDC02ytjEnVvYRZA_6_9"/>
      <w:bookmarkStart w:id="164" w:name="Tc_J9ESmxCFfUKggKK2jJHa3Q_6_6"/>
      <w:bookmarkStart w:id="165" w:name="Tc_IqpHo7y5pEOOs5OFCfawfg_6_0"/>
      <w:bookmarkStart w:id="166" w:name="Tc_VkP1IcMTKUu0nf-aAX0OVw_5_11"/>
      <w:bookmarkStart w:id="167" w:name="Tc_mwouqHAC1U-xs3TVzgL0cQ_5_9"/>
      <w:bookmarkStart w:id="168" w:name="Tc_p19N8qisR0aEssiA2HHvpA_5_8"/>
      <w:bookmarkStart w:id="169" w:name="Tc_yOcI11IewkuBM7Lqk33PKA_5_6"/>
      <w:bookmarkStart w:id="170" w:name="Tc_CizeAB4rOUi2Ii8mgpcufA_5_5"/>
      <w:bookmarkStart w:id="171" w:name="Tc_qI-qX9CSTkOJQhIZtBVS7A_5_2"/>
      <w:bookmarkStart w:id="172" w:name="Tc_xJUXXSAjw0SogGXaubjjYg_5_0"/>
      <w:bookmarkStart w:id="173" w:name="Tc_dMvnljq0RU2MvEndQugg-w_4_0"/>
      <w:bookmarkStart w:id="174" w:name="Tc_zaisr-CZ5EmABP3QI2rJGw_2_11"/>
      <w:bookmarkStart w:id="175" w:name="Tc_yqOThLvMikWF7lo9xsVW2w_2_8"/>
      <w:bookmarkStart w:id="176" w:name="Tc_bdmm8v0xvU6wk8FjY97rGw_2_5"/>
      <w:bookmarkStart w:id="177" w:name="Tc_N5oUgagqOUeEoAUMAYssGQ_2_2"/>
      <w:bookmarkStart w:id="178" w:name="Tc_-MNnRd_WtUugtsF_zqERoQ_1_2"/>
      <w:bookmarkStart w:id="179" w:name="_222e7eff_4887_46cb_9a19_bfb2c8a95fed"/>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ascii="Times New Roman;Times;serif" w:hAnsi="Times New Roman;Times;serif"/>
          <w:i/>
          <w:sz w:val="20"/>
        </w:rPr>
        <w:t>Stable Value Fund</w:t>
      </w:r>
      <w:r>
        <w:rPr>
          <w:rFonts w:ascii="Times New Roman;Times;serif" w:hAnsi="Times New Roman;Times;serif"/>
          <w:sz w:val="20"/>
        </w:rPr>
        <w:t xml:space="preserve">: Composed primarily of fully benefit-responsive investment contracts and reported at fair value using net asset value (“NAV”) as a practical expedient. The stable value fund calculates NAV per share in accordance with the measurement principles in FASB ASC 946, </w:t>
      </w:r>
      <w:r>
        <w:rPr>
          <w:rFonts w:ascii="Times New Roman;Times;serif" w:hAnsi="Times New Roman;Times;serif"/>
          <w:i/>
          <w:sz w:val="20"/>
        </w:rPr>
        <w:t>Financial Services—Investment Companies</w:t>
      </w:r>
      <w:r>
        <w:rPr>
          <w:rFonts w:ascii="Times New Roman;Times;serif" w:hAnsi="Times New Roman;Times;serif"/>
          <w:sz w:val="20"/>
        </w:rPr>
        <w:t xml:space="preserve">. Those measurement principles indicate that, in the determination of a stable value fund’s NAV, the relevant measurement is net assets which include the fully benefit-responsive investment contracts held by the fund at contract value. This NAV represents the Plan’s fair value, as it is the NAV at which the Plan transacts with the fund. This practical expedient is not used when it is probable that the fund will sell the investment for an amount different from the reported NAV. Participant transactions may occur daily, with </w:t>
      </w:r>
      <w:r>
        <w:rPr>
          <w:rFonts w:ascii="Times New Roman;Times;serif" w:hAnsi="Times New Roman;Times;serif"/>
          <w:b w:val="false"/>
          <w:i w:val="false"/>
          <w:caps w:val="false"/>
          <w:smallCaps w:val="false"/>
          <w:sz w:val="20"/>
        </w:rPr>
        <w:t>no</w:t>
      </w:r>
      <w:r>
        <w:rPr>
          <w:rFonts w:ascii="Times New Roman;Times;serif" w:hAnsi="Times New Roman;Times;serif"/>
          <w:sz w:val="20"/>
        </w:rPr>
        <w:t xml:space="preserve"> redemption notice period for individual participant commitments, redemption restrictions, or notice period requirements. If the Plan initiates a full redemption of the fund, the issuer reserves the right to require 12 months’ notice to ensure orderly securities liquidation.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Common Collective Trusts</w:t>
      </w:r>
      <w:r>
        <w:rPr>
          <w:rFonts w:ascii="Times New Roman;Times;serif" w:hAnsi="Times New Roman;Times;serif"/>
          <w:sz w:val="20"/>
        </w:rPr>
        <w:t xml:space="preserve">: Valued at the NAV of shares held by the Plan at year-end, based on the quoted market prices of the underlying pooled assets, which primarily consist of open-end mutual funds registered with the SEC. NAV is used as a practical expedient for estimating the fair value of common collective trusts. Participant transactions may occur daily, with </w:t>
      </w:r>
      <w:r>
        <w:rPr>
          <w:rFonts w:ascii="Times New Roman;Times;serif" w:hAnsi="Times New Roman;Times;serif"/>
          <w:b w:val="false"/>
          <w:i w:val="false"/>
          <w:caps w:val="false"/>
          <w:smallCaps w:val="false"/>
          <w:sz w:val="20"/>
        </w:rPr>
        <w:t>no</w:t>
      </w:r>
      <w:r>
        <w:rPr>
          <w:rFonts w:ascii="Times New Roman;Times;serif" w:hAnsi="Times New Roman;Times;serif"/>
          <w:sz w:val="20"/>
        </w:rPr>
        <w:t xml:space="preserve"> redemption notice period for individual participant commitments, redemption restrictions, or notice period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set forth by level, within the fair value hierarchy, the Plan’s investments at fair value as of December 31, 2025 and 2024:</w:t>
      </w:r>
    </w:p>
    <w:p>
      <w:pPr>
        <w:pStyle w:val="TextBody"/>
        <w:bidi w:val="0"/>
        <w:spacing w:before="0" w:after="0"/>
        <w:ind w:left="0" w:right="0" w:hanging="0"/>
        <w:jc w:val="left"/>
        <w:rPr/>
      </w:pPr>
      <w:r>
        <w:rPr/>
        <w:t>​</w:t>
      </w:r>
    </w:p>
    <w:tbl>
      <w:tblPr>
        <w:tblW w:w="7446" w:type="dxa"/>
        <w:jc w:val="left"/>
        <w:tblInd w:w="0" w:type="dxa"/>
        <w:tblLayout w:type="fixed"/>
        <w:tblCellMar>
          <w:top w:w="0" w:type="dxa"/>
          <w:left w:w="0" w:type="dxa"/>
          <w:bottom w:w="0" w:type="dxa"/>
          <w:right w:w="0" w:type="dxa"/>
        </w:tblCellMar>
      </w:tblPr>
      <w:tblGrid>
        <w:gridCol w:w="3211"/>
        <w:gridCol w:w="109"/>
        <w:gridCol w:w="196"/>
        <w:gridCol w:w="1006"/>
        <w:gridCol w:w="109"/>
        <w:gridCol w:w="233"/>
        <w:gridCol w:w="412"/>
        <w:gridCol w:w="109"/>
        <w:gridCol w:w="233"/>
        <w:gridCol w:w="412"/>
        <w:gridCol w:w="109"/>
        <w:gridCol w:w="196"/>
        <w:gridCol w:w="1111"/>
      </w:tblGrid>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109" w:type="dxa"/>
            <w:tcBorders/>
            <w:vAlign w:val="center"/>
          </w:tcPr>
          <w:p>
            <w:pPr>
              <w:pStyle w:val="TableContents"/>
              <w:bidi w:val="0"/>
              <w:spacing w:before="0" w:after="0"/>
              <w:ind w:left="0" w:right="0" w:hanging="0"/>
              <w:jc w:val="left"/>
              <w:rPr/>
            </w:pPr>
            <w:r>
              <w:rPr/>
              <w:t>​</w:t>
            </w:r>
          </w:p>
        </w:tc>
        <w:tc>
          <w:tcPr>
            <w:tcW w:w="6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109" w:type="dxa"/>
            <w:tcBorders/>
            <w:vAlign w:val="center"/>
          </w:tcPr>
          <w:p>
            <w:pPr>
              <w:pStyle w:val="TableContents"/>
              <w:bidi w:val="0"/>
              <w:spacing w:before="0" w:after="0"/>
              <w:ind w:left="0" w:right="0" w:hanging="0"/>
              <w:jc w:val="left"/>
              <w:rPr/>
            </w:pPr>
            <w:r>
              <w:rPr/>
              <w:t>​</w:t>
            </w:r>
          </w:p>
        </w:tc>
        <w:tc>
          <w:tcPr>
            <w:tcW w:w="6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109" w:type="dxa"/>
            <w:tcBorders/>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 in the fair value hierarchy: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Mutual funds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163,411,585</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163,411,585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Valmont Industries, Inc. common stock</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38,295,874</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38,295,874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investments in the fair value hierarchy</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201,707,459</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201,707,459</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 at net asset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Stable value fund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21,740,195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collective trusts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528,035,568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investments at net asset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549,775,763</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investments, at fair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751,483,222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446" w:type="dxa"/>
        <w:jc w:val="left"/>
        <w:tblInd w:w="0" w:type="dxa"/>
        <w:tblLayout w:type="fixed"/>
        <w:tblCellMar>
          <w:top w:w="0" w:type="dxa"/>
          <w:left w:w="0" w:type="dxa"/>
          <w:bottom w:w="0" w:type="dxa"/>
          <w:right w:w="0" w:type="dxa"/>
        </w:tblCellMar>
      </w:tblPr>
      <w:tblGrid>
        <w:gridCol w:w="3211"/>
        <w:gridCol w:w="109"/>
        <w:gridCol w:w="196"/>
        <w:gridCol w:w="1006"/>
        <w:gridCol w:w="109"/>
        <w:gridCol w:w="233"/>
        <w:gridCol w:w="412"/>
        <w:gridCol w:w="109"/>
        <w:gridCol w:w="233"/>
        <w:gridCol w:w="412"/>
        <w:gridCol w:w="109"/>
        <w:gridCol w:w="196"/>
        <w:gridCol w:w="1111"/>
      </w:tblGrid>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2024</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109" w:type="dxa"/>
            <w:tcBorders/>
            <w:vAlign w:val="center"/>
          </w:tcPr>
          <w:p>
            <w:pPr>
              <w:pStyle w:val="TableContents"/>
              <w:bidi w:val="0"/>
              <w:spacing w:before="0" w:after="0"/>
              <w:ind w:left="0" w:right="0" w:hanging="0"/>
              <w:jc w:val="left"/>
              <w:rPr/>
            </w:pPr>
            <w:r>
              <w:rPr/>
              <w:t>​</w:t>
            </w:r>
          </w:p>
        </w:tc>
        <w:tc>
          <w:tcPr>
            <w:tcW w:w="6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109" w:type="dxa"/>
            <w:tcBorders/>
            <w:vAlign w:val="center"/>
          </w:tcPr>
          <w:p>
            <w:pPr>
              <w:pStyle w:val="TableContents"/>
              <w:bidi w:val="0"/>
              <w:spacing w:before="0" w:after="0"/>
              <w:ind w:left="0" w:right="0" w:hanging="0"/>
              <w:jc w:val="left"/>
              <w:rPr/>
            </w:pPr>
            <w:r>
              <w:rPr/>
              <w:t>​</w:t>
            </w:r>
          </w:p>
        </w:tc>
        <w:tc>
          <w:tcPr>
            <w:tcW w:w="6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109" w:type="dxa"/>
            <w:tcBorders/>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 in the fair value hierarchy: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Mutual funds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139,845,497</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139,845,497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Valmont Industries, Inc. common stock</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32,154,865</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32,154,865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investments in the fair value hierarchy</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172,000,362</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172,000,362</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 at net asset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Stable value fund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22,376,223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collective trusts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457,433,164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investments at net asset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479,809,387</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investments, at fair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651,809,749</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(4) PARTY-IN-INTEREST TRANSACTIONS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Certain Plan investments include shares of mutual funds managed by Fidelity, the Plan’s trustee. As a result, these transactions qualify as party-in-interest transactions. Fees paid by Plan participants to Fidelity for investment management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other transaction-related services totaled $823,003 and $823,846 for the years ended December 31, 2025 and 2024,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and 2024, the Plan held 95,188 and 104,852 shares, respectively, of the Company’s common stock, with a cost basis of $10,406,133 and $10,699,557, respectively. During the years ended December 31, 2025 and 2024, the Plan recorded dividend income from the Company totaling $267,388 and $268,348,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PLAN TERMINATION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the Company has not expressed any intent to terminate the Plan, it reserves the right to do so at any time, subject to the provisions of ERISA. In the event of Plan termination, all participants would become 100% vested in the Company’s contributions to their accounts.</w:t>
      </w:r>
    </w:p>
    <w:p>
      <w:pPr>
        <w:pStyle w:val="TextBody"/>
        <w:bidi w:val="0"/>
        <w:spacing w:before="0" w:after="240"/>
        <w:ind w:left="0" w:right="0" w:hanging="0"/>
        <w:jc w:val="left"/>
        <w:rPr>
          <w:rFonts w:ascii="Times New Roman;Times;serif" w:hAnsi="Times New Roman;Times;serif"/>
          <w:b/>
          <w:sz w:val="20"/>
        </w:rPr>
      </w:pPr>
      <w:bookmarkStart w:id="180" w:name="LASTPAGEOFNTOESTOFINANCIALSTATEMENTS"/>
      <w:bookmarkEnd w:id="180"/>
      <w:r>
        <w:rPr>
          <w:rFonts w:ascii="Times New Roman;Times;serif" w:hAnsi="Times New Roman;Times;serif"/>
          <w:b/>
          <w:sz w:val="20"/>
        </w:rPr>
        <w:t>(6) FEDERAL INCOME TAX STATUS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IRS determined, in a letter dated June 30, 2020, that the Plan and related trust were designed in accordance with the applicable sections of the IRC. The Company and Plan management believe the Plan remains compliant with IRC requirements in both design and operation. Accordingly, the Plan and related trust </w:t>
      </w:r>
      <w:r>
        <w:rPr>
          <w:rFonts w:ascii="Times New Roman;Times;serif" w:hAnsi="Times New Roman;Times;serif"/>
          <w:b w:val="false"/>
          <w:i w:val="false"/>
          <w:caps w:val="false"/>
          <w:smallCaps w:val="false"/>
          <w:sz w:val="20"/>
        </w:rPr>
        <w:t>continue to be tax-exempt</w:t>
      </w:r>
      <w:r>
        <w:rPr>
          <w:rFonts w:ascii="Times New Roman;Times;serif" w:hAnsi="Times New Roman;Times;serif"/>
          <w:sz w:val="20"/>
        </w:rPr>
        <w:t>, and no provision for income taxes has been included in the Plan’s financial statements.</w:t>
      </w:r>
    </w:p>
    <w:p>
      <w:pPr>
        <w:pStyle w:val="TextBody"/>
        <w:bidi w:val="0"/>
        <w:spacing w:before="0" w:after="480"/>
        <w:ind w:left="0" w:right="0" w:firstLine="720"/>
        <w:jc w:val="left"/>
        <w:rPr>
          <w:rFonts w:ascii="Times New Roman;Times;serif" w:hAnsi="Times New Roman;Times;serif"/>
          <w:sz w:val="20"/>
        </w:rPr>
      </w:pPr>
      <w:r>
        <w:rPr>
          <w:rFonts w:ascii="Times New Roman;Times;serif" w:hAnsi="Times New Roman;Times;serif"/>
          <w:sz w:val="20"/>
        </w:rPr>
        <w:t>Under U.S. GAAP, Plan management must evaluate tax positions taken by the Plan and recognize a tax liability (or asset) if an uncertain tax position is determined to be more likely than not unsustainable upon IRS examination. After analyzing the Plan’s tax positions, the Plan Administrator concluded that as of December 31, 2025 and 2024, no uncertain positions were taken or expected to be taken that would require recognition of a liability (or asset) or disclosure in the financial statements. The Plan is subject to routine audits by taxing jurisdictions; however, no audits are currently in progress for any tax periods. The Plan Administrator believes the Plan is no longer subject to income tax examinations for years prior to 2021.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firstLine="72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1920" w:after="240"/>
        <w:ind w:left="0" w:right="0" w:hanging="0"/>
        <w:jc w:val="center"/>
        <w:rPr>
          <w:rFonts w:ascii="Times New Roman;Times;serif" w:hAnsi="Times New Roman;Times;serif"/>
          <w:b/>
          <w:sz w:val="28"/>
        </w:rPr>
      </w:pPr>
      <w:bookmarkStart w:id="181" w:name="SUPPLEMENTALSCHEDULE"/>
      <w:bookmarkStart w:id="182" w:name="_26feb837_2efd_4155_bac6_563a4d3214c8"/>
      <w:bookmarkEnd w:id="181"/>
      <w:bookmarkEnd w:id="182"/>
      <w:r>
        <w:rPr>
          <w:rFonts w:ascii="Times New Roman;Times;serif" w:hAnsi="Times New Roman;Times;serif"/>
          <w:b/>
          <w:sz w:val="28"/>
        </w:rPr>
        <w:t>SUPPLEMENTAL SCHEDULE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3" w:name="Tc_fpD30G6Ag0uCgP7QGaMRmg_40_8"/>
      <w:bookmarkStart w:id="184" w:name="Tc_aLU-wKgy40Wb_5t3oXX2gA_38_6"/>
      <w:bookmarkStart w:id="185" w:name="Tc_Hdc2hG829EmrhB_tPDdWsg_38_4"/>
      <w:bookmarkStart w:id="186" w:name="Tc_-vT4OrIowk6fybJziixgMQ_38_2"/>
      <w:bookmarkStart w:id="187" w:name="Tc_bTVGrqjfEU-erTXRNCexqQ_38_0"/>
      <w:bookmarkStart w:id="188" w:name="Tc_Fa9Iqhcv-EOvYFn89IOVig_34_2"/>
      <w:bookmarkStart w:id="189" w:name="Tc_z95lcZQAHECE192yjfMYJw_15_2"/>
      <w:bookmarkStart w:id="190" w:name="Tc_SdjBUunyQ0GnT3Lq8bv5Tg_6_8"/>
      <w:bookmarkStart w:id="191" w:name="Tc_C05oDHWXh0KALZQaV03GQw_4_8"/>
      <w:bookmarkStart w:id="192" w:name="Tc_VkFMbjU1cESXzCTE7w-iuA_4_6"/>
      <w:bookmarkStart w:id="193" w:name="Tc_yr3EcFJgekCQc1Kk8iRRIg_4_4"/>
      <w:bookmarkStart w:id="194" w:name="Tc_Mpla6h3gT02eRnNGnb1SUQ_4_2"/>
      <w:bookmarkStart w:id="195" w:name="Tc_B996GGdY30Ws-MCaGFpitA_4_0"/>
      <w:bookmarkStart w:id="196" w:name="Tc_4bfGcmgKXUW4c9NgzzvtiA_3_8"/>
      <w:bookmarkStart w:id="197" w:name="Tc_XzI4I1TBiUK27urbfwRGFg_3_4"/>
      <w:bookmarkStart w:id="198" w:name="Tc_sQH_mozB6Uuv-hsRESsZxQ_3_2"/>
      <w:bookmarkStart w:id="199" w:name="Tc_n-6YPsWksUGzZSjS5HBO6Q_2_4"/>
      <w:bookmarkStart w:id="200" w:name="Tc_z-MbQr_lBkumAUAQ67_Htg_1_4"/>
      <w:bookmarkStart w:id="201" w:name="_df107fac_3c10_402a_8689_7a80a1fde5bb"/>
      <w:bookmarkStart w:id="202" w:name="FORM5500SCHEDULEHPARTIVLINE4I"/>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rFonts w:ascii="Times New Roman;Times;serif" w:hAnsi="Times New Roman;Times;serif"/>
          <w:b/>
          <w:sz w:val="20"/>
        </w:rPr>
        <w:t>VALMONT EMPLOYEE RETIREMENT SAVINGS PLAN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5500, SCHEDULE H, PART IV, LINE 4(i) – SCHEDULE OF ASSETS (HELD AT END OF YEAR)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Employer Identification Number: 47-0351813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Plan Number: 003</w:t>
      </w:r>
    </w:p>
    <w:tbl>
      <w:tblPr>
        <w:tblW w:w="10205" w:type="dxa"/>
        <w:jc w:val="left"/>
        <w:tblInd w:w="0" w:type="dxa"/>
        <w:tblLayout w:type="fixed"/>
        <w:tblCellMar>
          <w:top w:w="0" w:type="dxa"/>
          <w:left w:w="0" w:type="dxa"/>
          <w:bottom w:w="0" w:type="dxa"/>
          <w:right w:w="0" w:type="dxa"/>
        </w:tblCellMar>
      </w:tblPr>
      <w:tblGrid>
        <w:gridCol w:w="306"/>
        <w:gridCol w:w="109"/>
        <w:gridCol w:w="3276"/>
        <w:gridCol w:w="109"/>
        <w:gridCol w:w="4281"/>
        <w:gridCol w:w="109"/>
        <w:gridCol w:w="597"/>
        <w:gridCol w:w="109"/>
        <w:gridCol w:w="196"/>
        <w:gridCol w:w="1113"/>
      </w:tblGrid>
      <w:tr>
        <w:trPr/>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94310" cy="175260"/>
                      <wp:effectExtent l="0" t="0" r="0" b="0"/>
                      <wp:wrapNone/>
                      <wp:docPr id="3" name="Frame3"/>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80260" cy="175260"/>
                      <wp:effectExtent l="0" t="0" r="0" b="0"/>
                      <wp:wrapNone/>
                      <wp:docPr id="5" name="Frame5"/>
                      <a:graphic xmlns:a="http://schemas.openxmlformats.org/drawingml/2006/main">
                        <a:graphicData uri="http://schemas.microsoft.com/office/word/2010/wordprocessingShape">
                          <wps:wsp>
                            <wps:cNvSpPr txBox="1"/>
                            <wps:spPr>
                              <a:xfrm>
                                <a:off x="0" y="0"/>
                                <a:ext cx="208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718435" cy="175260"/>
                      <wp:effectExtent l="0" t="0" r="0" b="0"/>
                      <wp:wrapNone/>
                      <wp:docPr id="7" name="Frame7"/>
                      <a:graphic xmlns:a="http://schemas.openxmlformats.org/drawingml/2006/main">
                        <a:graphicData uri="http://schemas.microsoft.com/office/word/2010/wordprocessingShape">
                          <wps:wsp>
                            <wps:cNvSpPr txBox="1"/>
                            <wps:spPr>
                              <a:xfrm>
                                <a:off x="0" y="0"/>
                                <a:ext cx="271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8" name="Frame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79095" cy="175260"/>
                      <wp:effectExtent l="0" t="0" r="0" b="0"/>
                      <wp:wrapNone/>
                      <wp:docPr id="9" name="Frame9"/>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06755" cy="175260"/>
                      <wp:effectExtent l="0" t="0" r="0" b="0"/>
                      <wp:wrapNone/>
                      <wp:docPr id="12" name="Frame12"/>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 Description of investment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left"/>
              <w:rPr/>
            </w:pPr>
            <w:r>
              <w:rPr/>
              <w:t>​</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including maturity date,</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left"/>
              <w:rPr/>
            </w:pPr>
            <w:r>
              <w:rPr/>
              <w:t>​</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 Identity of issue, borrower,</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rate of interest, collateral,</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09"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(e) Current </w:t>
            </w:r>
          </w:p>
        </w:tc>
      </w:tr>
      <w:tr>
        <w:trPr/>
        <w:tc>
          <w:tcPr>
            <w:tcW w:w="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w:t>
            </w:r>
          </w:p>
        </w:tc>
        <w:tc>
          <w:tcPr>
            <w:tcW w:w="109" w:type="dxa"/>
            <w:tcBorders/>
            <w:vAlign w:val="center"/>
          </w:tcPr>
          <w:p>
            <w:pPr>
              <w:pStyle w:val="TableContents"/>
              <w:bidi w:val="0"/>
              <w:spacing w:before="0" w:after="1"/>
              <w:ind w:left="0" w:right="0" w:hanging="0"/>
              <w:jc w:val="center"/>
              <w:rPr/>
            </w:pPr>
            <w:r>
              <w:rPr/>
              <w:t>​</w:t>
            </w:r>
          </w:p>
        </w:tc>
        <w:tc>
          <w:tcPr>
            <w:tcW w:w="32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lessor, or similar party</w:t>
            </w:r>
          </w:p>
        </w:tc>
        <w:tc>
          <w:tcPr>
            <w:tcW w:w="109" w:type="dxa"/>
            <w:tcBorders/>
            <w:vAlign w:val="center"/>
          </w:tcPr>
          <w:p>
            <w:pPr>
              <w:pStyle w:val="TableContents"/>
              <w:bidi w:val="0"/>
              <w:spacing w:before="0" w:after="1"/>
              <w:ind w:left="0" w:right="0" w:hanging="0"/>
              <w:jc w:val="center"/>
              <w:rPr/>
            </w:pPr>
            <w:r>
              <w:rPr/>
              <w:t>​</w:t>
            </w:r>
          </w:p>
        </w:tc>
        <w:tc>
          <w:tcPr>
            <w:tcW w:w="42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par, or maturity value</w:t>
            </w:r>
          </w:p>
        </w:tc>
        <w:tc>
          <w:tcPr>
            <w:tcW w:w="109" w:type="dxa"/>
            <w:tcBorders/>
            <w:vAlign w:val="center"/>
          </w:tcPr>
          <w:p>
            <w:pPr>
              <w:pStyle w:val="TableContents"/>
              <w:bidi w:val="0"/>
              <w:spacing w:before="0" w:after="1"/>
              <w:ind w:left="0" w:right="0" w:hanging="0"/>
              <w:jc w:val="center"/>
              <w:rPr/>
            </w:pPr>
            <w:r>
              <w:rPr/>
              <w:t>​</w:t>
            </w:r>
          </w:p>
        </w:tc>
        <w:tc>
          <w:tcPr>
            <w:tcW w:w="59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(d) Cost </w:t>
            </w:r>
          </w:p>
        </w:tc>
        <w:tc>
          <w:tcPr>
            <w:tcW w:w="109" w:type="dxa"/>
            <w:tcBorders/>
            <w:vAlign w:val="center"/>
          </w:tcPr>
          <w:p>
            <w:pPr>
              <w:pStyle w:val="TableContents"/>
              <w:bidi w:val="0"/>
              <w:spacing w:before="0" w:after="1"/>
              <w:ind w:left="0" w:right="0" w:hanging="0"/>
              <w:jc w:val="center"/>
              <w:rPr/>
            </w:pPr>
            <w:r>
              <w:rPr/>
              <w:t>​</w:t>
            </w:r>
          </w:p>
        </w:tc>
        <w:tc>
          <w:tcPr>
            <w:tcW w:w="13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value</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left"/>
              <w:rPr/>
            </w:pPr>
            <w:r>
              <w:rPr/>
              <w:t>​</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DFA Emerging Markets Core Equity 2 Portfolio Institutional Class</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Mutual fund</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6,795,990</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JPMorgan Mid Cap Value Fund Class L</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Mutual fund</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4,758,629</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 Rowe Price Overseas Stock Fund I Class</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Mutual fund</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12,121,899</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Inflation Protected Securities Fund Admiral Shares</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Mutual fund</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3,088,779</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Mid-Cap Growth Index Fund Admiral Shares</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Mutual fund</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13,714,532</w:t>
            </w:r>
          </w:p>
        </w:tc>
      </w:tr>
      <w:tr>
        <w:trPr/>
        <w:tc>
          <w:tcPr>
            <w:tcW w:w="30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Fidelity 500 Index Fund</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Mutual fund</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56,749,585</w:t>
            </w:r>
          </w:p>
        </w:tc>
      </w:tr>
      <w:tr>
        <w:trPr/>
        <w:tc>
          <w:tcPr>
            <w:tcW w:w="30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Fidelity Global ex U.S. Index Fund</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Mutual fund</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10,216,355</w:t>
            </w:r>
          </w:p>
        </w:tc>
      </w:tr>
      <w:tr>
        <w:trPr/>
        <w:tc>
          <w:tcPr>
            <w:tcW w:w="30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Fidelity Contrafund K6</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Mutual fund</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51,090,208</w:t>
            </w:r>
          </w:p>
        </w:tc>
      </w:tr>
      <w:tr>
        <w:trPr/>
        <w:tc>
          <w:tcPr>
            <w:tcW w:w="30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Fidelity Small Cap Value Fund</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Mutual fund</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4,875,608</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mutual funds</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163,411,585</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left"/>
              <w:rPr/>
            </w:pPr>
            <w:r>
              <w:rPr/>
              <w:t>​</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Galliard Stable Return Fund Q</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21,740,195</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Eagle Mid Cap Growth CIT Founders Class</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9,240,109</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Prudential Core Plus Bond Fund Class 15</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17,778,820</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Putnam Large Cap Value Trust Class IA</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14,916,744</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Income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10,156,340</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2020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18,218,347</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2025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44,890,612</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2030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77,221,463</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2035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76,894,240</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2040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70,147,005</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2045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62,995,092</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2050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48,927,668</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2055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32,240,518</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2060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25,406,343</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2065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6,929,374</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Vanguard Target Retirement 2070 Trust II</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3,194,137</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Voya Small Cap Growth Trust Fund Class 22</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collective trust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8,878,756</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common collective trusts</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549,775,763</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left"/>
              <w:rPr/>
            </w:pPr>
            <w:r>
              <w:rPr/>
              <w:t>​</w:t>
            </w:r>
          </w:p>
        </w:tc>
      </w:tr>
      <w:tr>
        <w:trPr/>
        <w:tc>
          <w:tcPr>
            <w:tcW w:w="30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Valmont Industries, Inc. common stock</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stock</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38,295,874</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left"/>
              <w:rPr/>
            </w:pPr>
            <w:r>
              <w:rPr/>
              <w:t>​</w:t>
            </w:r>
          </w:p>
        </w:tc>
      </w:tr>
      <w:tr>
        <w:trPr/>
        <w:tc>
          <w:tcPr>
            <w:tcW w:w="30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Notes receivable from participants</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Participant loans - rates ranging from 4.25% to 9.50% and maturities through January 2031</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14,925,876</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left"/>
              <w:rPr/>
            </w:pPr>
            <w:r>
              <w:rPr/>
              <w:t>​</w:t>
            </w:r>
          </w:p>
        </w:tc>
      </w:tr>
      <w:tr>
        <w:trPr/>
        <w:tc>
          <w:tcPr>
            <w:tcW w:w="3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1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766,409,098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Represents a party-in-interest to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Cost information is not required for participant-directed investments</w:t>
      </w:r>
    </w:p>
    <w:p>
      <w:pPr>
        <w:pStyle w:val="TextBody"/>
        <w:bidi w:val="0"/>
        <w:spacing w:before="0" w:after="240"/>
        <w:ind w:left="0" w:right="0" w:firstLine="72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3" w:name="SIGNATURES"/>
      <w:bookmarkStart w:id="204" w:name="_9dcffe0a_df71_4be0_9b75_1ca09e2b7a75"/>
      <w:bookmarkEnd w:id="203"/>
      <w:bookmarkEnd w:id="204"/>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Plan.</w:t>
      </w:r>
      <w:r>
        <w:rPr>
          <w:rFonts w:ascii="Times New Roman;Times;serif" w:hAnsi="Times New Roman;Times;serif"/>
          <w:sz w:val="20"/>
        </w:rPr>
        <w:t xml:space="preserve"> Pursuant to the requirements of the Securities Exchange Act of 1934, the trustees (or other persons who administer the employee benefit plan) have duly caused this annual report to be signed on its behalf by the undersigned hereunto duly authorized.</w:t>
      </w:r>
    </w:p>
    <w:tbl>
      <w:tblPr>
        <w:tblW w:w="5045" w:type="dxa"/>
        <w:jc w:val="left"/>
        <w:tblInd w:w="0" w:type="dxa"/>
        <w:tblLayout w:type="fixed"/>
        <w:tblCellMar>
          <w:top w:w="0" w:type="dxa"/>
          <w:left w:w="0" w:type="dxa"/>
          <w:bottom w:w="0" w:type="dxa"/>
          <w:right w:w="0" w:type="dxa"/>
        </w:tblCellMar>
      </w:tblPr>
      <w:tblGrid>
        <w:gridCol w:w="124"/>
        <w:gridCol w:w="4921"/>
      </w:tblGrid>
      <w:tr>
        <w:trPr/>
        <w:tc>
          <w:tcPr>
            <w:tcW w:w="124" w:type="dxa"/>
            <w:tcBorders/>
            <w:vAlign w:val="center"/>
          </w:tcPr>
          <w:p>
            <w:pPr>
              <w:pStyle w:val="TableContents"/>
              <w:bidi w:val="0"/>
              <w:spacing w:before="0" w:after="0"/>
              <w:ind w:left="0" w:right="0" w:hanging="0"/>
              <w:jc w:val="left"/>
              <w:rPr/>
            </w:pPr>
            <w:r>
              <w:rPr/>
              <w:t>​</w:t>
            </w:r>
          </w:p>
        </w:tc>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VALMONT EMPLOYEE RETIREMENT SAVINGS PLAN </w:t>
            </w:r>
          </w:p>
        </w:tc>
      </w:tr>
      <w:tr>
        <w:trPr/>
        <w:tc>
          <w:tcPr>
            <w:tcW w:w="124" w:type="dxa"/>
            <w:tcBorders/>
            <w:vAlign w:val="center"/>
          </w:tcPr>
          <w:p>
            <w:pPr>
              <w:pStyle w:val="TableContents"/>
              <w:bidi w:val="0"/>
              <w:spacing w:before="0" w:after="0"/>
              <w:ind w:left="0" w:right="0" w:hanging="0"/>
              <w:jc w:val="left"/>
              <w:rPr/>
            </w:pPr>
            <w:r>
              <w:rPr/>
              <w:t>​</w:t>
            </w:r>
          </w:p>
        </w:tc>
        <w:tc>
          <w:tcPr>
            <w:tcW w:w="492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JENNIFER PAISLEY</w:t>
            </w:r>
          </w:p>
        </w:tc>
      </w:tr>
      <w:tr>
        <w:trPr/>
        <w:tc>
          <w:tcPr>
            <w:tcW w:w="124" w:type="dxa"/>
            <w:tcBorders/>
            <w:vAlign w:val="center"/>
          </w:tcPr>
          <w:p>
            <w:pPr>
              <w:pStyle w:val="TableContents"/>
              <w:bidi w:val="0"/>
              <w:spacing w:before="0" w:after="0"/>
              <w:ind w:left="0" w:right="0" w:hanging="0"/>
              <w:jc w:val="left"/>
              <w:rPr/>
            </w:pPr>
            <w:r>
              <w:rPr/>
              <w:t>​</w:t>
            </w:r>
          </w:p>
        </w:tc>
        <w:tc>
          <w:tcPr>
            <w:tcW w:w="49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Jennifer Paisley</w:t>
            </w:r>
          </w:p>
        </w:tc>
      </w:tr>
      <w:tr>
        <w:trPr/>
        <w:tc>
          <w:tcPr>
            <w:tcW w:w="124" w:type="dxa"/>
            <w:tcBorders/>
            <w:vAlign w:val="center"/>
          </w:tcPr>
          <w:p>
            <w:pPr>
              <w:pStyle w:val="TableContents"/>
              <w:bidi w:val="0"/>
              <w:spacing w:before="0" w:after="0"/>
              <w:ind w:left="0" w:right="0" w:hanging="0"/>
              <w:jc w:val="left"/>
              <w:rPr/>
            </w:pPr>
            <w:r>
              <w:rPr/>
              <w:t>​</w:t>
            </w:r>
          </w:p>
        </w:tc>
        <w:tc>
          <w:tcPr>
            <w:tcW w:w="492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People Officer</w:t>
            </w:r>
          </w:p>
        </w:tc>
      </w:tr>
      <w:tr>
        <w:trPr/>
        <w:tc>
          <w:tcPr>
            <w:tcW w:w="124" w:type="dxa"/>
            <w:tcBorders/>
            <w:vAlign w:val="center"/>
          </w:tcPr>
          <w:p>
            <w:pPr>
              <w:pStyle w:val="TableContents"/>
              <w:bidi w:val="0"/>
              <w:spacing w:before="0" w:after="0"/>
              <w:ind w:left="0" w:right="0" w:hanging="0"/>
              <w:jc w:val="left"/>
              <w:rPr/>
            </w:pPr>
            <w:r>
              <w:rPr/>
              <w:t>​</w:t>
            </w:r>
          </w:p>
        </w:tc>
        <w:tc>
          <w:tcPr>
            <w:tcW w:w="4921"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492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this 19th day of June, 2026</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5" w:name="INDEXTOEXHIBITS"/>
      <w:bookmarkStart w:id="206" w:name="_0a798fd8_a1e8_487c_a030_5683ecefe1e2"/>
      <w:bookmarkEnd w:id="205"/>
      <w:bookmarkEnd w:id="206"/>
      <w:r>
        <w:rPr>
          <w:rFonts w:ascii="Times New Roman;Times;serif" w:hAnsi="Times New Roman;Times;serif"/>
          <w:b/>
          <w:sz w:val="20"/>
        </w:rPr>
        <w:t>INDEX TO EXHIBITS</w:t>
      </w:r>
    </w:p>
    <w:tbl>
      <w:tblPr>
        <w:tblW w:w="4413" w:type="dxa"/>
        <w:jc w:val="left"/>
        <w:tblInd w:w="0" w:type="dxa"/>
        <w:tblLayout w:type="fixed"/>
        <w:tblCellMar>
          <w:top w:w="0" w:type="dxa"/>
          <w:left w:w="0" w:type="dxa"/>
          <w:bottom w:w="28" w:type="dxa"/>
          <w:right w:w="0" w:type="dxa"/>
        </w:tblCellMar>
      </w:tblPr>
      <w:tblGrid>
        <w:gridCol w:w="1081"/>
        <w:gridCol w:w="346"/>
        <w:gridCol w:w="2986"/>
      </w:tblGrid>
      <w:tr>
        <w:trPr/>
        <w:tc>
          <w:tcPr>
            <w:tcW w:w="10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9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986" w:type="dxa"/>
            <w:tcBorders/>
            <w:tcMar>
              <w:bottom w:w="0" w:type="dxa"/>
            </w:tcMar>
            <w:vAlign w:val="center"/>
          </w:tcPr>
          <w:p>
            <w:pPr>
              <w:pStyle w:val="TableContents"/>
              <w:bidi w:val="0"/>
              <w:spacing w:before="0" w:after="0"/>
              <w:ind w:left="0" w:right="0" w:hanging="0"/>
              <w:jc w:val="left"/>
              <w:rPr/>
            </w:pPr>
            <w:hyperlink w:anchor="vmi-20251231xex23d1.htm">
              <w:r>
                <w:rPr>
                  <w:rStyle w:val="InternetLink"/>
                  <w:rFonts w:ascii="Times New Roman;Times;serif" w:hAnsi="Times New Roman;Times;serif"/>
                  <w:b w:val="false"/>
                  <w:i w:val="false"/>
                  <w:caps w:val="false"/>
                  <w:smallCaps w:val="false"/>
                  <w:sz w:val="20"/>
                </w:rPr>
                <w:t>Consent of Deloitte &amp; Touche LLP</w:t>
              </w:r>
            </w:hyperlink>
          </w:p>
          <w:p>
            <w:pPr>
              <w:pStyle w:val="TableContents"/>
              <w:bidi w:val="0"/>
              <w:spacing w:before="0" w:after="0"/>
              <w:ind w:left="0" w:right="0" w:hanging="0"/>
              <w:jc w:val="left"/>
              <w:rPr/>
            </w:pPr>
            <w:r>
              <w:rPr/>
              <w:t>​</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 Filed herewith</w:t>
      </w:r>
    </w:p>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pBdr/>
        <w:bidi w:val="0"/>
        <w:spacing w:lineRule="auto" w:line="343" w:before="0" w:after="0"/>
        <w:ind w:left="0" w:right="0" w:hanging="180"/>
        <w:jc w:val="right"/>
        <w:rPr>
          <w:rFonts w:ascii="Times New Roman;Times;serif" w:hAnsi="Times New Roman;Times;serif"/>
          <w:b/>
          <w:sz w:val="20"/>
        </w:rPr>
      </w:pPr>
      <w:bookmarkStart w:id="207" w:name="vmi-20251231xex23d1.htm"/>
      <w:bookmarkStart w:id="208" w:name="ksvmi20251231xex23d1"/>
      <w:bookmarkEnd w:id="207"/>
      <w:bookmarkEnd w:id="208"/>
      <w:r>
        <w:rPr>
          <w:rFonts w:ascii="Times New Roman;Times;serif" w:hAnsi="Times New Roman;Times;serif"/>
          <w:b/>
          <w:sz w:val="20"/>
        </w:rPr>
        <w:t>Exhibit 23.1</w:t>
      </w:r>
      <w:bookmarkStart w:id="209" w:name="New_Section"/>
      <w:bookmarkEnd w:id="209"/>
      <w:r>
        <w:br w:type="page"/>
      </w:r>
    </w:p>
    <w:p>
      <w:pPr>
        <w:pStyle w:val="TextBody"/>
        <w:pBdr/>
        <w:bidi w:val="0"/>
        <w:spacing w:lineRule="auto" w:line="307" w:before="0" w:after="160"/>
        <w:ind w:left="0" w:right="0" w:hanging="180"/>
        <w:jc w:val="right"/>
        <w:rPr/>
      </w:pPr>
      <w:r>
        <w:rPr/>
        <w:t>​</w:t>
      </w:r>
    </w:p>
    <w:p>
      <w:pPr>
        <w:pStyle w:val="TextBody"/>
        <w:bidi w:val="0"/>
        <w:spacing w:lineRule="auto" w:line="307" w:before="0" w:after="0"/>
        <w:ind w:left="0" w:right="0" w:hanging="0"/>
        <w:jc w:val="left"/>
        <w:rPr>
          <w:rFonts w:ascii="Times New Roman;Times;serif" w:hAnsi="Times New Roman;Times;serif"/>
          <w:b/>
          <w:sz w:val="22"/>
        </w:rPr>
      </w:pPr>
      <w:r>
        <w:rPr>
          <w:rFonts w:ascii="Times New Roman;Times;serif" w:hAnsi="Times New Roman;Times;serif"/>
          <w:b/>
          <w:sz w:val="22"/>
        </w:rPr>
        <w:t>CONSENT OF INDEPENDENT REGISTERED PUBLIC ACCOUNTING FIRM</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2"/>
        </w:rPr>
      </w:pPr>
      <w:r>
        <w:rPr>
          <w:rFonts w:ascii="Times New Roman;Times;serif" w:hAnsi="Times New Roman;Times;serif"/>
          <w:sz w:val="22"/>
        </w:rPr>
        <w:t>We consent to the incorporation by reference in Registration Statement Nos. 333-83251, 333-136071, and 33-57117 on Form S-8 of Valmont Industries, Inc. of our report dated June 19, 2026, relating to the financial statements and supplemental schedule of Valmont Employee Retirement Savings Plan, appearing in this Annual Report on Form 11-K of Valmont Employee Retirement Savings Plan for the year ended December 31, 2025.</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2"/>
        </w:rPr>
      </w:pPr>
      <w:r>
        <w:rPr>
          <w:rFonts w:ascii="Times New Roman;Times;serif" w:hAnsi="Times New Roman;Times;serif"/>
          <w:sz w:val="22"/>
        </w:rPr>
        <w:t>/s/ Deloitte &amp; Touche LLP</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2"/>
        </w:rPr>
      </w:pPr>
      <w:r>
        <w:rPr>
          <w:rFonts w:ascii="Times New Roman;Times;serif" w:hAnsi="Times New Roman;Times;serif"/>
          <w:sz w:val="22"/>
        </w:rPr>
        <w:t>Omaha, Nebraska</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June 19,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4011</Words>
  <Characters>22645</Characters>
  <CharactersWithSpaces>27077</CharactersWithSpaces>
  <Paragraphs>1368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